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D4A" w:rsidRDefault="001C0D4A" w:rsidP="001C0D4A">
      <w:pPr>
        <w:pStyle w:val="Default"/>
      </w:pPr>
      <w:bookmarkStart w:id="0" w:name="_GoBack"/>
      <w:bookmarkEnd w:id="0"/>
    </w:p>
    <w:p w:rsidR="00392326" w:rsidRPr="00B94A62" w:rsidRDefault="001C0D4A" w:rsidP="001C0D4A">
      <w:pPr>
        <w:jc w:val="center"/>
      </w:pPr>
      <w:r w:rsidRPr="00B94A62">
        <w:rPr>
          <w:b/>
          <w:bCs/>
          <w:sz w:val="28"/>
          <w:szCs w:val="28"/>
        </w:rPr>
        <w:t>TEMPLATE</w:t>
      </w:r>
    </w:p>
    <w:p w:rsidR="00392326" w:rsidRPr="00B94A62" w:rsidRDefault="00392326" w:rsidP="00C373E7">
      <w:pPr>
        <w:jc w:val="center"/>
        <w:rPr>
          <w:rFonts w:ascii="Arial" w:hAnsi="Arial" w:cs="Arial"/>
          <w:b/>
          <w:sz w:val="24"/>
          <w:szCs w:val="24"/>
        </w:rPr>
      </w:pPr>
      <w:r w:rsidRPr="00B94A62">
        <w:rPr>
          <w:rFonts w:ascii="Arial" w:hAnsi="Arial" w:cs="Arial"/>
          <w:b/>
          <w:sz w:val="24"/>
          <w:szCs w:val="24"/>
        </w:rPr>
        <w:t>AR 5-10 Stationing Package</w:t>
      </w:r>
    </w:p>
    <w:p w:rsidR="00392326" w:rsidRPr="00B94A62" w:rsidRDefault="00392326" w:rsidP="00C373E7">
      <w:pPr>
        <w:jc w:val="center"/>
        <w:rPr>
          <w:rFonts w:ascii="Arial" w:hAnsi="Arial" w:cs="Arial"/>
          <w:b/>
          <w:sz w:val="24"/>
          <w:szCs w:val="24"/>
        </w:rPr>
      </w:pPr>
      <w:r w:rsidRPr="00B94A62">
        <w:rPr>
          <w:rFonts w:ascii="Arial" w:hAnsi="Arial" w:cs="Arial"/>
          <w:b/>
          <w:sz w:val="24"/>
          <w:szCs w:val="24"/>
        </w:rPr>
        <w:t xml:space="preserve">for </w:t>
      </w:r>
    </w:p>
    <w:p w:rsidR="00392326" w:rsidRPr="00B94A62" w:rsidRDefault="00392326" w:rsidP="00C373E7">
      <w:pPr>
        <w:jc w:val="center"/>
        <w:rPr>
          <w:rFonts w:ascii="Arial" w:hAnsi="Arial" w:cs="Arial"/>
          <w:b/>
          <w:sz w:val="24"/>
          <w:szCs w:val="24"/>
        </w:rPr>
      </w:pPr>
      <w:r w:rsidRPr="00B94A62">
        <w:rPr>
          <w:rFonts w:ascii="Arial" w:hAnsi="Arial" w:cs="Arial"/>
          <w:b/>
          <w:sz w:val="24"/>
          <w:szCs w:val="24"/>
        </w:rPr>
        <w:t>FYXXXX Force Structure Actions</w:t>
      </w:r>
    </w:p>
    <w:p w:rsidR="00392326" w:rsidRPr="00B94A62" w:rsidRDefault="00392326" w:rsidP="00C373E7">
      <w:pPr>
        <w:jc w:val="center"/>
        <w:rPr>
          <w:rFonts w:ascii="Arial" w:hAnsi="Arial" w:cs="Arial"/>
          <w:b/>
          <w:sz w:val="24"/>
          <w:szCs w:val="24"/>
        </w:rPr>
      </w:pPr>
      <w:r w:rsidRPr="00B94A62">
        <w:rPr>
          <w:rFonts w:ascii="Arial" w:hAnsi="Arial" w:cs="Arial"/>
          <w:b/>
          <w:sz w:val="24"/>
          <w:szCs w:val="24"/>
        </w:rPr>
        <w:t xml:space="preserve">at </w:t>
      </w:r>
    </w:p>
    <w:p w:rsidR="00392326" w:rsidRPr="00B94A62" w:rsidRDefault="00392326" w:rsidP="00C373E7">
      <w:pPr>
        <w:jc w:val="center"/>
        <w:rPr>
          <w:rFonts w:ascii="Arial" w:hAnsi="Arial" w:cs="Arial"/>
          <w:b/>
          <w:sz w:val="24"/>
          <w:szCs w:val="24"/>
        </w:rPr>
      </w:pPr>
      <w:r w:rsidRPr="00B94A62">
        <w:rPr>
          <w:rFonts w:ascii="Arial" w:hAnsi="Arial" w:cs="Arial"/>
          <w:b/>
          <w:sz w:val="24"/>
          <w:szCs w:val="24"/>
        </w:rPr>
        <w:t>Fort Story, TX</w:t>
      </w:r>
    </w:p>
    <w:p w:rsidR="00392326" w:rsidRPr="00B94A62" w:rsidRDefault="00392326" w:rsidP="00C373E7">
      <w:pPr>
        <w:jc w:val="center"/>
        <w:rPr>
          <w:rFonts w:ascii="Arial" w:hAnsi="Arial" w:cs="Arial"/>
          <w:b/>
          <w:sz w:val="24"/>
          <w:szCs w:val="24"/>
          <w:u w:val="single"/>
        </w:rPr>
      </w:pPr>
      <w:r w:rsidRPr="00B94A62">
        <w:rPr>
          <w:rFonts w:ascii="Arial" w:hAnsi="Arial" w:cs="Arial"/>
          <w:b/>
          <w:sz w:val="24"/>
          <w:szCs w:val="24"/>
          <w:u w:val="single"/>
        </w:rPr>
        <w:t>Activation(s)</w:t>
      </w:r>
    </w:p>
    <w:p w:rsidR="00392326" w:rsidRPr="00B94A62" w:rsidRDefault="00392326" w:rsidP="00C373E7">
      <w:pPr>
        <w:jc w:val="center"/>
        <w:rPr>
          <w:rFonts w:ascii="Arial" w:hAnsi="Arial" w:cs="Arial"/>
          <w:b/>
          <w:sz w:val="24"/>
          <w:szCs w:val="24"/>
          <w:u w:val="single"/>
        </w:rPr>
      </w:pPr>
      <w:r w:rsidRPr="00B94A62">
        <w:rPr>
          <w:rFonts w:ascii="Arial" w:hAnsi="Arial" w:cs="Arial"/>
          <w:b/>
          <w:sz w:val="24"/>
          <w:szCs w:val="24"/>
        </w:rPr>
        <w:t>XXX Military Police Company (UIC)</w:t>
      </w:r>
    </w:p>
    <w:p w:rsidR="001C0D4A" w:rsidRPr="00B94A62" w:rsidRDefault="001C0D4A" w:rsidP="001C0D4A">
      <w:pPr>
        <w:jc w:val="center"/>
        <w:rPr>
          <w:rFonts w:ascii="Arial" w:hAnsi="Arial" w:cs="Arial"/>
          <w:b/>
          <w:sz w:val="24"/>
          <w:szCs w:val="24"/>
        </w:rPr>
      </w:pPr>
    </w:p>
    <w:p w:rsidR="001C0D4A" w:rsidRPr="00B94A62" w:rsidRDefault="001C0D4A" w:rsidP="001C0D4A">
      <w:pPr>
        <w:rPr>
          <w:rFonts w:ascii="Arial" w:hAnsi="Arial" w:cs="Arial"/>
          <w:b/>
          <w:sz w:val="24"/>
          <w:szCs w:val="24"/>
        </w:rPr>
      </w:pPr>
      <w:r w:rsidRPr="00B94A62">
        <w:rPr>
          <w:rFonts w:ascii="Arial" w:hAnsi="Arial" w:cs="Arial"/>
          <w:b/>
          <w:bCs/>
          <w:sz w:val="24"/>
          <w:szCs w:val="24"/>
        </w:rPr>
        <w:t>NON ARMY organizations must first contact Ada Rodriquez DA/Pentagon, Stationing Branch 703-614-9737</w:t>
      </w:r>
      <w:r w:rsidR="00466A5F">
        <w:rPr>
          <w:rFonts w:ascii="Arial" w:hAnsi="Arial" w:cs="Arial"/>
          <w:b/>
          <w:bCs/>
          <w:sz w:val="24"/>
          <w:szCs w:val="24"/>
        </w:rPr>
        <w:t xml:space="preserve">, </w:t>
      </w:r>
      <w:r w:rsidR="00466A5F" w:rsidRPr="00466A5F">
        <w:rPr>
          <w:rFonts w:ascii="Arial" w:hAnsi="Arial" w:cs="Arial"/>
          <w:b/>
          <w:bCs/>
          <w:sz w:val="24"/>
          <w:szCs w:val="24"/>
        </w:rPr>
        <w:t>ada.i.rodriguez-cruz.civ@mail.mil</w:t>
      </w:r>
      <w:r w:rsidR="00466A5F">
        <w:rPr>
          <w:rFonts w:ascii="Arial" w:hAnsi="Arial" w:cs="Arial"/>
          <w:b/>
          <w:bCs/>
          <w:sz w:val="24"/>
          <w:szCs w:val="24"/>
        </w:rPr>
        <w:t xml:space="preserve">, </w:t>
      </w:r>
      <w:r w:rsidRPr="00B94A62">
        <w:rPr>
          <w:rFonts w:ascii="Arial" w:hAnsi="Arial" w:cs="Arial"/>
          <w:b/>
          <w:bCs/>
          <w:sz w:val="24"/>
          <w:szCs w:val="24"/>
        </w:rPr>
        <w:t xml:space="preserve"> before coordination</w:t>
      </w:r>
      <w:r w:rsidR="00B14B6A" w:rsidRPr="00B94A62">
        <w:rPr>
          <w:rFonts w:ascii="Arial" w:hAnsi="Arial" w:cs="Arial"/>
          <w:b/>
          <w:bCs/>
          <w:sz w:val="24"/>
          <w:szCs w:val="24"/>
        </w:rPr>
        <w:t>.</w:t>
      </w:r>
      <w:r w:rsidRPr="00B94A62">
        <w:rPr>
          <w:rFonts w:ascii="Arial" w:hAnsi="Arial" w:cs="Arial"/>
          <w:b/>
          <w:bCs/>
          <w:sz w:val="24"/>
          <w:szCs w:val="24"/>
        </w:rPr>
        <w:t xml:space="preserve"> </w:t>
      </w:r>
    </w:p>
    <w:p w:rsidR="001C0D4A" w:rsidRPr="00B94A62" w:rsidRDefault="001C0D4A" w:rsidP="001C0D4A">
      <w:pPr>
        <w:rPr>
          <w:rFonts w:ascii="Arial" w:hAnsi="Arial" w:cs="Arial"/>
          <w:b/>
          <w:sz w:val="24"/>
          <w:szCs w:val="24"/>
        </w:rPr>
      </w:pPr>
      <w:r w:rsidRPr="00B94A62">
        <w:rPr>
          <w:rFonts w:ascii="Arial" w:hAnsi="Arial" w:cs="Arial"/>
          <w:b/>
          <w:bCs/>
          <w:sz w:val="24"/>
          <w:szCs w:val="24"/>
        </w:rPr>
        <w:t xml:space="preserve">Coordination for “any/all” Fort Meade STATIONING/MOVING ON and OFF the Fort Meade installation / All ACTIONs are processed/coordinated through the Plans, Analysis, and Integration Office (PAIO): “NO SUB- LEASING/SHARING SPACE” It is not authorized and is Illegal! Requesting unit must submit a Stationing request. </w:t>
      </w:r>
    </w:p>
    <w:p w:rsidR="008F051F" w:rsidRPr="00B94A62" w:rsidRDefault="008F051F">
      <w:pPr>
        <w:rPr>
          <w:rFonts w:ascii="Arial" w:hAnsi="Arial" w:cs="Arial"/>
          <w:b/>
          <w:bCs/>
          <w:sz w:val="24"/>
          <w:szCs w:val="24"/>
        </w:rPr>
      </w:pPr>
      <w:r w:rsidRPr="00B94A62">
        <w:rPr>
          <w:rFonts w:ascii="Arial" w:hAnsi="Arial" w:cs="Arial"/>
          <w:b/>
          <w:bCs/>
          <w:sz w:val="24"/>
          <w:szCs w:val="24"/>
        </w:rPr>
        <w:t>PAIO Points of Contact are as follows:</w:t>
      </w:r>
    </w:p>
    <w:p w:rsidR="00B14B6A" w:rsidRPr="00B94A62" w:rsidRDefault="00B14B6A" w:rsidP="00B14B6A">
      <w:pPr>
        <w:rPr>
          <w:rFonts w:ascii="Arial" w:hAnsi="Arial" w:cs="Arial"/>
          <w:b/>
          <w:bCs/>
          <w:sz w:val="24"/>
          <w:szCs w:val="24"/>
        </w:rPr>
      </w:pPr>
      <w:r w:rsidRPr="00B94A62">
        <w:rPr>
          <w:rFonts w:ascii="Arial" w:hAnsi="Arial" w:cs="Arial"/>
          <w:b/>
          <w:bCs/>
          <w:sz w:val="24"/>
          <w:szCs w:val="24"/>
        </w:rPr>
        <w:t>Nate Whitlaw, Plans Specialist, PAIO, Room 306, 4550 Parade Field Lane, Fort Meade MD 20755, 301-677-7911, nataniel.o.whitlaw4.civ@mail.mil</w:t>
      </w:r>
    </w:p>
    <w:p w:rsidR="008F051F" w:rsidRPr="00B94A62" w:rsidRDefault="001C0D4A">
      <w:pPr>
        <w:rPr>
          <w:rFonts w:ascii="Arial" w:hAnsi="Arial" w:cs="Arial"/>
          <w:b/>
          <w:bCs/>
          <w:sz w:val="24"/>
          <w:szCs w:val="24"/>
        </w:rPr>
      </w:pPr>
      <w:r w:rsidRPr="00B94A62">
        <w:rPr>
          <w:rFonts w:ascii="Arial" w:hAnsi="Arial" w:cs="Arial"/>
          <w:b/>
          <w:bCs/>
          <w:sz w:val="24"/>
          <w:szCs w:val="24"/>
        </w:rPr>
        <w:t>Chris Thiel</w:t>
      </w:r>
      <w:r w:rsidR="008F051F" w:rsidRPr="00B94A62">
        <w:rPr>
          <w:rFonts w:ascii="Arial" w:hAnsi="Arial" w:cs="Arial"/>
          <w:b/>
          <w:bCs/>
          <w:sz w:val="24"/>
          <w:szCs w:val="24"/>
        </w:rPr>
        <w:t xml:space="preserve">, </w:t>
      </w:r>
      <w:r w:rsidR="00B949F1" w:rsidRPr="00B94A62">
        <w:rPr>
          <w:rFonts w:ascii="Arial" w:hAnsi="Arial" w:cs="Arial"/>
          <w:b/>
          <w:bCs/>
          <w:sz w:val="24"/>
          <w:szCs w:val="24"/>
        </w:rPr>
        <w:t>Chief</w:t>
      </w:r>
      <w:r w:rsidR="008F051F" w:rsidRPr="00B94A62">
        <w:rPr>
          <w:rFonts w:ascii="Arial" w:hAnsi="Arial" w:cs="Arial"/>
          <w:b/>
          <w:bCs/>
          <w:sz w:val="24"/>
          <w:szCs w:val="24"/>
        </w:rPr>
        <w:t>, PAIO, Room 30</w:t>
      </w:r>
      <w:r w:rsidR="00B949F1" w:rsidRPr="00B94A62">
        <w:rPr>
          <w:rFonts w:ascii="Arial" w:hAnsi="Arial" w:cs="Arial"/>
          <w:b/>
          <w:bCs/>
          <w:sz w:val="24"/>
          <w:szCs w:val="24"/>
        </w:rPr>
        <w:t>7</w:t>
      </w:r>
      <w:r w:rsidR="008F051F" w:rsidRPr="00B94A62">
        <w:rPr>
          <w:rFonts w:ascii="Arial" w:hAnsi="Arial" w:cs="Arial"/>
          <w:b/>
          <w:bCs/>
          <w:sz w:val="24"/>
          <w:szCs w:val="24"/>
        </w:rPr>
        <w:t xml:space="preserve">, 4550 Parade Field Lane, Fort Meade MD 20755, </w:t>
      </w:r>
      <w:r w:rsidRPr="00B94A62">
        <w:rPr>
          <w:rFonts w:ascii="Arial" w:hAnsi="Arial" w:cs="Arial"/>
          <w:b/>
          <w:bCs/>
          <w:sz w:val="24"/>
          <w:szCs w:val="24"/>
        </w:rPr>
        <w:t>301-677-1962</w:t>
      </w:r>
      <w:r w:rsidR="00CC040D" w:rsidRPr="00B94A62">
        <w:rPr>
          <w:rFonts w:ascii="Arial" w:hAnsi="Arial" w:cs="Arial"/>
          <w:b/>
          <w:bCs/>
          <w:sz w:val="24"/>
          <w:szCs w:val="24"/>
        </w:rPr>
        <w:t>, christopher.w.thiel.civ@mail.mil</w:t>
      </w:r>
    </w:p>
    <w:p w:rsidR="00392326" w:rsidRPr="00B94A62" w:rsidRDefault="00392326" w:rsidP="00682844">
      <w:pPr>
        <w:jc w:val="center"/>
        <w:rPr>
          <w:rFonts w:ascii="Arial" w:hAnsi="Arial" w:cs="Arial"/>
          <w:b/>
          <w:bCs/>
          <w:sz w:val="24"/>
          <w:szCs w:val="24"/>
        </w:rPr>
      </w:pPr>
    </w:p>
    <w:p w:rsidR="00392326" w:rsidRPr="00B94A62" w:rsidRDefault="00392326" w:rsidP="00682844">
      <w:pPr>
        <w:jc w:val="center"/>
        <w:rPr>
          <w:rFonts w:ascii="Arial" w:hAnsi="Arial" w:cs="Arial"/>
          <w:b/>
          <w:bCs/>
          <w:sz w:val="24"/>
          <w:szCs w:val="24"/>
        </w:rPr>
      </w:pPr>
      <w:r w:rsidRPr="00B94A62">
        <w:rPr>
          <w:rFonts w:ascii="Arial" w:hAnsi="Arial" w:cs="Arial"/>
          <w:b/>
          <w:bCs/>
          <w:sz w:val="24"/>
          <w:szCs w:val="24"/>
        </w:rPr>
        <w:br w:type="page"/>
      </w:r>
    </w:p>
    <w:p w:rsidR="00392326" w:rsidRPr="00B94A62" w:rsidRDefault="00392326" w:rsidP="00A46E88">
      <w:pPr>
        <w:rPr>
          <w:rFonts w:ascii="Arial" w:hAnsi="Arial" w:cs="Arial"/>
          <w:b/>
          <w:sz w:val="24"/>
          <w:szCs w:val="24"/>
        </w:rPr>
      </w:pPr>
      <w:r w:rsidRPr="00B94A62">
        <w:rPr>
          <w:rFonts w:ascii="Arial" w:hAnsi="Arial" w:cs="Arial"/>
          <w:b/>
          <w:sz w:val="24"/>
          <w:szCs w:val="24"/>
        </w:rPr>
        <w:lastRenderedPageBreak/>
        <w:t xml:space="preserve">1.  Unit Identification and Mission.  (ACOM)  In accordance with (IAW) AR 5-10, describe the unit’s identification and its mission.  The unit should be identified by its designation, unit identification code (UIC) and for MTOE units, Standard Requirements Code (SRC).  </w:t>
      </w:r>
    </w:p>
    <w:p w:rsidR="00392326" w:rsidRPr="00B94A62" w:rsidRDefault="00392326" w:rsidP="00A46E88">
      <w:pPr>
        <w:rPr>
          <w:rFonts w:ascii="Arial" w:hAnsi="Arial" w:cs="Arial"/>
          <w:i/>
          <w:sz w:val="24"/>
          <w:szCs w:val="24"/>
        </w:rPr>
      </w:pPr>
      <w:r w:rsidRPr="00B94A62">
        <w:rPr>
          <w:rFonts w:ascii="Arial" w:hAnsi="Arial" w:cs="Arial"/>
          <w:i/>
          <w:sz w:val="24"/>
          <w:szCs w:val="24"/>
        </w:rPr>
        <w:t xml:space="preserve">Example:  </w:t>
      </w:r>
    </w:p>
    <w:p w:rsidR="00392326" w:rsidRPr="00B94A62" w:rsidRDefault="00392326" w:rsidP="00A46E88">
      <w:pPr>
        <w:rPr>
          <w:rFonts w:ascii="Arial" w:hAnsi="Arial" w:cs="Arial"/>
          <w:i/>
          <w:sz w:val="24"/>
          <w:szCs w:val="24"/>
        </w:rPr>
      </w:pPr>
      <w:r w:rsidRPr="00B94A62">
        <w:rPr>
          <w:rFonts w:ascii="Arial" w:hAnsi="Arial" w:cs="Arial"/>
          <w:i/>
          <w:sz w:val="24"/>
          <w:szCs w:val="24"/>
        </w:rPr>
        <w:t>Activation:</w:t>
      </w:r>
    </w:p>
    <w:p w:rsidR="00392326" w:rsidRPr="00B94A62" w:rsidRDefault="00392326" w:rsidP="00A46E88">
      <w:pPr>
        <w:rPr>
          <w:rFonts w:ascii="Arial" w:hAnsi="Arial" w:cs="Arial"/>
          <w:i/>
          <w:sz w:val="24"/>
          <w:szCs w:val="24"/>
        </w:rPr>
      </w:pPr>
      <w:r w:rsidRPr="00B94A62">
        <w:rPr>
          <w:rFonts w:ascii="Arial" w:hAnsi="Arial" w:cs="Arial"/>
          <w:i/>
          <w:sz w:val="24"/>
          <w:szCs w:val="24"/>
        </w:rPr>
        <w:t>XXX Military Police (MP) Company (UIC), SRC 19477G00100.  To provide Military Police combat support to an assigned area of operations.</w:t>
      </w:r>
    </w:p>
    <w:p w:rsidR="00392326" w:rsidRPr="00B94A62" w:rsidRDefault="00392326" w:rsidP="00051546">
      <w:pPr>
        <w:rPr>
          <w:rFonts w:ascii="Arial" w:hAnsi="Arial" w:cs="Arial"/>
          <w:b/>
          <w:sz w:val="24"/>
          <w:szCs w:val="24"/>
        </w:rPr>
      </w:pPr>
      <w:r w:rsidRPr="00B94A62">
        <w:rPr>
          <w:rFonts w:ascii="Arial" w:hAnsi="Arial" w:cs="Arial"/>
          <w:b/>
          <w:sz w:val="24"/>
          <w:szCs w:val="24"/>
        </w:rPr>
        <w:t>2.  Nature of Actions (ACOM).  IAW AR 5-10, explain exactly what is to be accomplished or what is to take place.  Describe the unit(s) and activities affected by action.  Identify authority.</w:t>
      </w:r>
    </w:p>
    <w:p w:rsidR="00392326" w:rsidRPr="00B94A62" w:rsidRDefault="00392326" w:rsidP="000C003E">
      <w:pPr>
        <w:rPr>
          <w:rFonts w:ascii="Arial" w:hAnsi="Arial" w:cs="Arial"/>
          <w:i/>
          <w:sz w:val="24"/>
          <w:szCs w:val="24"/>
        </w:rPr>
      </w:pPr>
      <w:r w:rsidRPr="00B94A62">
        <w:rPr>
          <w:rFonts w:ascii="Arial" w:hAnsi="Arial" w:cs="Arial"/>
          <w:i/>
          <w:sz w:val="24"/>
          <w:szCs w:val="24"/>
        </w:rPr>
        <w:t xml:space="preserve">Example:  Grow the Army Stationing Plan Decision, December 20XX or Army Campaign Plan, January 20XX activates the XXX MP Co (UIC) at Fort Story, TX on (date).  </w:t>
      </w:r>
    </w:p>
    <w:p w:rsidR="00392326" w:rsidRPr="00B94A62" w:rsidRDefault="00392326" w:rsidP="00121337">
      <w:pPr>
        <w:rPr>
          <w:rFonts w:ascii="Arial" w:hAnsi="Arial" w:cs="Arial"/>
          <w:b/>
          <w:sz w:val="24"/>
          <w:szCs w:val="24"/>
        </w:rPr>
      </w:pPr>
      <w:bookmarkStart w:id="1" w:name="s25-2b(3)"/>
      <w:bookmarkEnd w:id="1"/>
      <w:r w:rsidRPr="00B94A62">
        <w:rPr>
          <w:rFonts w:ascii="Arial" w:hAnsi="Arial" w:cs="Arial"/>
          <w:b/>
          <w:sz w:val="24"/>
          <w:szCs w:val="24"/>
        </w:rPr>
        <w:t>3.  Rationale.  (ACOM)   IAW AR 5-10, state the rationale for the proposed action.  This should present a convincing argument for why the action should be taken.  It may include a description of what problems will be solved or what management improvements will be achieved.  Stating that HQDA cut force structure is not a rationale.  In most cases, ACOMs have choices as to units to activate, relocates, or other stationing actions as a result of HQDA decisions.  If there are no choices (i.e. only one unit of this kind in the force) this should be stated.</w:t>
      </w:r>
    </w:p>
    <w:p w:rsidR="00392326" w:rsidRPr="00B94A62" w:rsidRDefault="00392326" w:rsidP="00121337">
      <w:pPr>
        <w:rPr>
          <w:rFonts w:ascii="Arial" w:hAnsi="Arial" w:cs="Arial"/>
          <w:i/>
          <w:sz w:val="24"/>
          <w:szCs w:val="24"/>
        </w:rPr>
      </w:pPr>
      <w:r w:rsidRPr="00B94A62">
        <w:rPr>
          <w:rFonts w:ascii="Arial" w:hAnsi="Arial" w:cs="Arial"/>
          <w:i/>
          <w:sz w:val="24"/>
          <w:szCs w:val="24"/>
        </w:rPr>
        <w:t>Example:  The activation of this unit is operationally imperative now to ensure the Army is properly postured to fully support its strategic commitments.</w:t>
      </w:r>
    </w:p>
    <w:p w:rsidR="00392326" w:rsidRPr="00B94A62" w:rsidRDefault="00392326" w:rsidP="00296291">
      <w:pPr>
        <w:rPr>
          <w:rFonts w:ascii="Arial" w:hAnsi="Arial" w:cs="Arial"/>
          <w:b/>
          <w:sz w:val="24"/>
          <w:szCs w:val="24"/>
        </w:rPr>
      </w:pPr>
      <w:bookmarkStart w:id="2" w:name="s25-2b(4)"/>
      <w:bookmarkEnd w:id="2"/>
      <w:r w:rsidRPr="00B94A62">
        <w:rPr>
          <w:rFonts w:ascii="Arial" w:hAnsi="Arial" w:cs="Arial"/>
          <w:b/>
          <w:sz w:val="24"/>
          <w:szCs w:val="24"/>
        </w:rPr>
        <w:t xml:space="preserve">4.  Alternatives to the Proposed Action.  (ACOM)  IAW AR 5-10, describe what alternatives were studied and why the proposed action is the preferred action.  This includes what screening and evaluation criteria were used to determine the recommended action.  If an activity or unit is being relocated, alternative locations must be considered and addressed.  Specific justifications supporting the alternative selected must be clearly articulated.  At a minimum, a no action alternative of continuing the status quo will be included.  </w:t>
      </w:r>
    </w:p>
    <w:p w:rsidR="00392326" w:rsidRPr="00B94A62" w:rsidRDefault="00392326" w:rsidP="00296291">
      <w:pPr>
        <w:rPr>
          <w:rFonts w:ascii="Arial" w:hAnsi="Arial" w:cs="Arial"/>
          <w:i/>
          <w:sz w:val="24"/>
          <w:szCs w:val="24"/>
        </w:rPr>
      </w:pPr>
      <w:r w:rsidRPr="00B94A62">
        <w:rPr>
          <w:rFonts w:ascii="Arial" w:hAnsi="Arial" w:cs="Arial"/>
          <w:i/>
          <w:sz w:val="24"/>
          <w:szCs w:val="24"/>
        </w:rPr>
        <w:t xml:space="preserve">Example:  </w:t>
      </w:r>
    </w:p>
    <w:p w:rsidR="00392326" w:rsidRPr="00B94A62" w:rsidRDefault="00392326" w:rsidP="00296291">
      <w:pPr>
        <w:rPr>
          <w:rFonts w:ascii="Arial" w:hAnsi="Arial" w:cs="Arial"/>
          <w:i/>
          <w:sz w:val="24"/>
          <w:szCs w:val="24"/>
        </w:rPr>
      </w:pPr>
      <w:r w:rsidRPr="00B94A62">
        <w:rPr>
          <w:rFonts w:ascii="Arial" w:hAnsi="Arial" w:cs="Arial"/>
          <w:i/>
          <w:sz w:val="24"/>
          <w:szCs w:val="24"/>
        </w:rPr>
        <w:t xml:space="preserve">(a)  The location was selected based on 1) proximity to supported command, 2) range training space,  and 3) xxxxxx.  This stationing action does not result in an increase of Department of Defense civilian authorizations.  </w:t>
      </w:r>
    </w:p>
    <w:p w:rsidR="00392326" w:rsidRPr="00B94A62" w:rsidRDefault="00392326" w:rsidP="00296291">
      <w:pPr>
        <w:rPr>
          <w:rFonts w:ascii="Arial" w:hAnsi="Arial" w:cs="Arial"/>
          <w:i/>
          <w:sz w:val="24"/>
          <w:szCs w:val="24"/>
        </w:rPr>
      </w:pPr>
      <w:r w:rsidRPr="00B94A62">
        <w:rPr>
          <w:rFonts w:ascii="Arial" w:hAnsi="Arial" w:cs="Arial"/>
          <w:i/>
          <w:sz w:val="24"/>
          <w:szCs w:val="24"/>
        </w:rPr>
        <w:lastRenderedPageBreak/>
        <w:t>(b)  The status quo is not considered a viable option since it does not support the Army’s future operational requirements.  Based on requirements detailed in TAA XX-XX and the MSFA force feasibility review, not activating this unit would cause an unacceptable shortfall in this mission area.</w:t>
      </w:r>
    </w:p>
    <w:p w:rsidR="00392326" w:rsidRPr="00B94A62" w:rsidRDefault="00392326" w:rsidP="006A3C60">
      <w:pPr>
        <w:rPr>
          <w:rFonts w:ascii="Arial" w:hAnsi="Arial" w:cs="Arial"/>
          <w:b/>
          <w:sz w:val="24"/>
          <w:szCs w:val="24"/>
        </w:rPr>
      </w:pPr>
      <w:bookmarkStart w:id="3" w:name="s25-2b(5)"/>
      <w:bookmarkEnd w:id="3"/>
      <w:r w:rsidRPr="00B94A62">
        <w:rPr>
          <w:rFonts w:ascii="Arial" w:hAnsi="Arial" w:cs="Arial"/>
          <w:b/>
          <w:sz w:val="24"/>
          <w:szCs w:val="24"/>
        </w:rPr>
        <w:t xml:space="preserve">5.  Strategic and Operational Implications.  (ACOM)  IAW AR 5-10, if the action impacts current strategy, contingency plans or other operational considerations, describe the impacts succinctly.   </w:t>
      </w:r>
      <w:bookmarkStart w:id="4" w:name="s25-2b(6)"/>
      <w:bookmarkEnd w:id="4"/>
      <w:r w:rsidRPr="00B94A62">
        <w:rPr>
          <w:rFonts w:ascii="Arial" w:hAnsi="Arial" w:cs="Arial"/>
          <w:b/>
          <w:sz w:val="24"/>
          <w:szCs w:val="24"/>
        </w:rPr>
        <w:t>Do not include classified information.</w:t>
      </w:r>
    </w:p>
    <w:p w:rsidR="00392326" w:rsidRPr="00B94A62" w:rsidRDefault="00392326" w:rsidP="00A67C23">
      <w:pPr>
        <w:rPr>
          <w:rFonts w:ascii="Arial" w:hAnsi="Arial" w:cs="Arial"/>
          <w:sz w:val="24"/>
          <w:szCs w:val="24"/>
        </w:rPr>
      </w:pPr>
      <w:r w:rsidRPr="00B94A62">
        <w:rPr>
          <w:rFonts w:ascii="Arial" w:hAnsi="Arial" w:cs="Arial"/>
          <w:b/>
          <w:sz w:val="24"/>
          <w:szCs w:val="24"/>
        </w:rPr>
        <w:t>6.  Estimated Civilian and Military Personnel Impacts.  (ACOM)  IAW AR 5-10, describe the overall change in military and civilian personnel authorizations for the affected installations.  Provide a summary of civilian employee impacts, if appropriate.  Include separations, eliminations, and retirements.  Identify the number of military and civilian authorizations that are moving.  Include known or anticipated contractor workforce population.   (Information concerning civilian personnel does not eliminate the reduction in force submission requirements established by ASA(M&amp;RA).</w:t>
      </w:r>
      <w:r w:rsidR="0093093B" w:rsidRPr="00B94A62">
        <w:rPr>
          <w:rFonts w:ascii="Arial" w:hAnsi="Arial" w:cs="Arial"/>
          <w:b/>
          <w:sz w:val="24"/>
          <w:szCs w:val="24"/>
        </w:rPr>
        <w:t xml:space="preserve">  Provide the current population and annual projected population for 6 years out by each year.</w:t>
      </w:r>
    </w:p>
    <w:p w:rsidR="00392326" w:rsidRPr="00B94A62" w:rsidRDefault="00392326" w:rsidP="00A67C23">
      <w:pPr>
        <w:rPr>
          <w:rFonts w:ascii="Arial" w:hAnsi="Arial" w:cs="Arial"/>
          <w:i/>
          <w:sz w:val="24"/>
          <w:szCs w:val="24"/>
        </w:rPr>
      </w:pPr>
      <w:r w:rsidRPr="00B94A62">
        <w:rPr>
          <w:rFonts w:ascii="Arial" w:hAnsi="Arial" w:cs="Arial"/>
          <w:i/>
          <w:sz w:val="24"/>
          <w:szCs w:val="24"/>
        </w:rPr>
        <w:t>Example:</w:t>
      </w:r>
    </w:p>
    <w:p w:rsidR="0093093B" w:rsidRPr="00B94A62" w:rsidRDefault="00392326" w:rsidP="006A3C60">
      <w:pPr>
        <w:rPr>
          <w:rFonts w:ascii="Arial" w:hAnsi="Arial" w:cs="Arial"/>
          <w:b/>
          <w:bCs/>
          <w:sz w:val="24"/>
          <w:szCs w:val="24"/>
        </w:rPr>
      </w:pPr>
      <w:r w:rsidRPr="00B94A62">
        <w:rPr>
          <w:rFonts w:ascii="Arial" w:hAnsi="Arial" w:cs="Arial"/>
          <w:i/>
          <w:sz w:val="24"/>
          <w:szCs w:val="24"/>
        </w:rPr>
        <w:t>Activation:  XXX MP Co (UIC).  Authorizations include 5 officers, 0 warrant officers, and 166 enlisted for a total of 171 unit personnel.</w:t>
      </w:r>
      <w:r w:rsidR="0093093B" w:rsidRPr="00B94A62">
        <w:rPr>
          <w:rFonts w:ascii="Arial" w:hAnsi="Arial" w:cs="Arial"/>
          <w:b/>
          <w:bCs/>
          <w:sz w:val="24"/>
          <w:szCs w:val="24"/>
        </w:rPr>
        <w:t xml:space="preserve"> </w:t>
      </w:r>
    </w:p>
    <w:p w:rsidR="00392326" w:rsidRPr="00B94A62" w:rsidRDefault="0093093B" w:rsidP="006A3C60">
      <w:pPr>
        <w:rPr>
          <w:rFonts w:ascii="Arial" w:hAnsi="Arial" w:cs="Arial"/>
          <w:i/>
          <w:sz w:val="24"/>
          <w:szCs w:val="24"/>
        </w:rPr>
      </w:pPr>
      <w:r w:rsidRPr="00B94A62">
        <w:rPr>
          <w:rFonts w:ascii="Arial" w:hAnsi="Arial" w:cs="Arial"/>
          <w:b/>
          <w:bCs/>
          <w:sz w:val="24"/>
          <w:szCs w:val="24"/>
        </w:rPr>
        <w:t>Contact the PAIO ASIP Manager, Milton McLean at 301-677-5480/1962,</w:t>
      </w:r>
      <w:r w:rsidRPr="00B94A62">
        <w:rPr>
          <w:rFonts w:ascii="Arial" w:hAnsi="Arial" w:cs="Arial"/>
          <w:sz w:val="24"/>
          <w:szCs w:val="24"/>
        </w:rPr>
        <w:t xml:space="preserve"> </w:t>
      </w:r>
      <w:hyperlink r:id="rId7" w:history="1">
        <w:r w:rsidRPr="00B94A62">
          <w:rPr>
            <w:rStyle w:val="Hyperlink"/>
            <w:rFonts w:ascii="Arial" w:hAnsi="Arial" w:cs="Arial"/>
            <w:b/>
            <w:bCs/>
            <w:color w:val="auto"/>
            <w:sz w:val="24"/>
            <w:szCs w:val="24"/>
          </w:rPr>
          <w:t>milton.j.mclean.civ@mail.mil</w:t>
        </w:r>
      </w:hyperlink>
      <w:r w:rsidRPr="00B94A62">
        <w:rPr>
          <w:rFonts w:ascii="Arial" w:hAnsi="Arial" w:cs="Arial"/>
          <w:b/>
          <w:bCs/>
          <w:sz w:val="24"/>
          <w:szCs w:val="24"/>
        </w:rPr>
        <w:t xml:space="preserve"> with any questions or concerns.</w:t>
      </w:r>
    </w:p>
    <w:p w:rsidR="00392326" w:rsidRPr="00B94A62" w:rsidRDefault="00392326" w:rsidP="006A3C60">
      <w:pPr>
        <w:rPr>
          <w:rFonts w:ascii="Arial" w:hAnsi="Arial" w:cs="Arial"/>
          <w:b/>
          <w:sz w:val="24"/>
          <w:szCs w:val="24"/>
        </w:rPr>
      </w:pPr>
      <w:r w:rsidRPr="00B94A62">
        <w:rPr>
          <w:rFonts w:ascii="Arial" w:hAnsi="Arial" w:cs="Arial"/>
          <w:b/>
          <w:sz w:val="24"/>
          <w:szCs w:val="24"/>
        </w:rPr>
        <w:t xml:space="preserve">7.  Programs to Provide Assistance to Affected Personnel.  (ACOM)  IAW AR 5-10, provide assurance that both military and civilian personnel have been informed about assistance programs, benefits, and entitlements that are available to them as a result of the proposed action. </w:t>
      </w:r>
      <w:r w:rsidR="001C0D4A" w:rsidRPr="00B94A62">
        <w:rPr>
          <w:rFonts w:ascii="Arial" w:hAnsi="Arial" w:cs="Arial"/>
          <w:b/>
          <w:bCs/>
          <w:sz w:val="24"/>
          <w:szCs w:val="24"/>
        </w:rPr>
        <w:t>Contact PAIO to coordinate an all Garrison Directorates Meeting to discuss the incoming organization needs and resources. Inter Support Agreements/Resource Management; Utilities, Barracks, Housing, Day Care, ID/CAC Cards, Gym/Fitness, etc.</w:t>
      </w:r>
      <w:r w:rsidR="00286653" w:rsidRPr="00B94A62">
        <w:rPr>
          <w:rFonts w:ascii="Arial" w:hAnsi="Arial" w:cs="Arial"/>
          <w:b/>
          <w:bCs/>
          <w:sz w:val="24"/>
          <w:szCs w:val="24"/>
        </w:rPr>
        <w:t xml:space="preserve">  </w:t>
      </w:r>
    </w:p>
    <w:p w:rsidR="00B94A62" w:rsidRDefault="00392326" w:rsidP="00EE57F6">
      <w:pPr>
        <w:tabs>
          <w:tab w:val="left" w:pos="3510"/>
          <w:tab w:val="left" w:pos="4680"/>
        </w:tabs>
        <w:rPr>
          <w:rFonts w:ascii="Arial" w:hAnsi="Arial" w:cs="Arial"/>
          <w:b/>
          <w:sz w:val="24"/>
          <w:szCs w:val="24"/>
        </w:rPr>
      </w:pPr>
      <w:bookmarkStart w:id="5" w:name="s25-2b(8)"/>
      <w:bookmarkEnd w:id="5"/>
      <w:r w:rsidRPr="00B94A62">
        <w:rPr>
          <w:rFonts w:ascii="Arial" w:hAnsi="Arial" w:cs="Arial"/>
          <w:b/>
          <w:sz w:val="24"/>
          <w:szCs w:val="24"/>
        </w:rPr>
        <w:t>8.  Anticipated Cost and Savings.  (IMCOM)   IAW AR 5-10, describe one-time and new annual recurring costs and/or savings.  Provide a detailed summary display of both one-time and recurring costs and/or savings (sample figure 5-3, Enclosure 1).</w:t>
      </w:r>
    </w:p>
    <w:p w:rsidR="00B94A62" w:rsidRDefault="00B94A62" w:rsidP="00EE57F6">
      <w:pPr>
        <w:tabs>
          <w:tab w:val="left" w:pos="3510"/>
          <w:tab w:val="left" w:pos="4680"/>
        </w:tabs>
        <w:rPr>
          <w:rFonts w:ascii="Arial" w:hAnsi="Arial" w:cs="Arial"/>
          <w:b/>
          <w:sz w:val="24"/>
          <w:szCs w:val="24"/>
        </w:rPr>
      </w:pPr>
    </w:p>
    <w:p w:rsidR="00392326" w:rsidRPr="00B94A62" w:rsidRDefault="00392326" w:rsidP="00EE57F6">
      <w:pPr>
        <w:tabs>
          <w:tab w:val="left" w:pos="3510"/>
          <w:tab w:val="left" w:pos="4680"/>
        </w:tabs>
        <w:rPr>
          <w:rFonts w:ascii="Arial" w:hAnsi="Arial" w:cs="Arial"/>
          <w:b/>
          <w:sz w:val="24"/>
          <w:szCs w:val="24"/>
        </w:rPr>
      </w:pPr>
      <w:r w:rsidRPr="00B94A62">
        <w:rPr>
          <w:rFonts w:ascii="Arial" w:hAnsi="Arial" w:cs="Arial"/>
          <w:b/>
          <w:sz w:val="24"/>
          <w:szCs w:val="24"/>
        </w:rPr>
        <w:t xml:space="preserve"> </w:t>
      </w:r>
    </w:p>
    <w:p w:rsidR="00172C06" w:rsidRPr="00B94A62" w:rsidRDefault="00392326" w:rsidP="00B94A62">
      <w:pPr>
        <w:tabs>
          <w:tab w:val="left" w:pos="3510"/>
          <w:tab w:val="left" w:pos="4680"/>
        </w:tabs>
        <w:rPr>
          <w:rFonts w:ascii="Arial" w:hAnsi="Arial" w:cs="Arial"/>
          <w:i/>
          <w:sz w:val="24"/>
          <w:szCs w:val="24"/>
        </w:rPr>
      </w:pPr>
      <w:r w:rsidRPr="00B94A62">
        <w:rPr>
          <w:rFonts w:ascii="Arial" w:hAnsi="Arial" w:cs="Arial"/>
          <w:i/>
          <w:sz w:val="24"/>
          <w:szCs w:val="24"/>
        </w:rPr>
        <w:lastRenderedPageBreak/>
        <w:t>Example:  Costs identified at Enclosure #1 have been submitted through Resource Management (RM) channels to IMCOM Region and Headquarters.  RM has advised that these requirements will/will not be funded within existing or anticipated funding.  (See paragraph for RM personnel points of contact.)</w:t>
      </w:r>
    </w:p>
    <w:p w:rsidR="00392326" w:rsidRPr="00B94A62" w:rsidRDefault="00392326" w:rsidP="00FB0D05">
      <w:pPr>
        <w:tabs>
          <w:tab w:val="left" w:pos="3510"/>
          <w:tab w:val="left" w:pos="4680"/>
        </w:tabs>
        <w:spacing w:after="0" w:line="240" w:lineRule="auto"/>
        <w:rPr>
          <w:rFonts w:ascii="Arial" w:hAnsi="Arial" w:cs="Arial"/>
          <w:b/>
          <w:sz w:val="24"/>
          <w:szCs w:val="24"/>
        </w:rPr>
      </w:pPr>
      <w:r w:rsidRPr="00B94A62">
        <w:rPr>
          <w:rFonts w:ascii="Arial" w:hAnsi="Arial" w:cs="Arial"/>
          <w:b/>
          <w:sz w:val="24"/>
          <w:szCs w:val="24"/>
        </w:rPr>
        <w:t xml:space="preserve">Note:   ACOMs should identify any unique service requirements (services above the Common Level of Support). </w:t>
      </w:r>
      <w:r w:rsidR="00FB0D05" w:rsidRPr="00B94A62">
        <w:rPr>
          <w:rFonts w:ascii="Arial" w:hAnsi="Arial" w:cs="Arial"/>
          <w:b/>
          <w:bCs/>
          <w:sz w:val="24"/>
          <w:szCs w:val="24"/>
        </w:rPr>
        <w:t xml:space="preserve">Contact the Resource Management Office for any cost and/or Inter Service Agreements (ISA) questions /concerns. </w:t>
      </w:r>
      <w:r w:rsidR="00820DE0" w:rsidRPr="00B94A62">
        <w:rPr>
          <w:rFonts w:ascii="Arial" w:hAnsi="Arial" w:cs="Arial"/>
          <w:b/>
          <w:bCs/>
          <w:sz w:val="24"/>
          <w:szCs w:val="24"/>
        </w:rPr>
        <w:t>POC</w:t>
      </w:r>
      <w:r w:rsidR="00CC040D" w:rsidRPr="00B94A62">
        <w:rPr>
          <w:rFonts w:ascii="Arial" w:hAnsi="Arial" w:cs="Arial"/>
          <w:b/>
          <w:bCs/>
          <w:sz w:val="24"/>
          <w:szCs w:val="24"/>
        </w:rPr>
        <w:t>s are</w:t>
      </w:r>
      <w:r w:rsidR="00820DE0" w:rsidRPr="00B94A62">
        <w:rPr>
          <w:rFonts w:ascii="Arial" w:hAnsi="Arial" w:cs="Arial"/>
          <w:b/>
          <w:bCs/>
          <w:sz w:val="24"/>
          <w:szCs w:val="24"/>
        </w:rPr>
        <w:t xml:space="preserve"> </w:t>
      </w:r>
      <w:r w:rsidR="00FB0D05" w:rsidRPr="00B94A62">
        <w:rPr>
          <w:rFonts w:ascii="Arial" w:hAnsi="Arial" w:cs="Arial"/>
          <w:b/>
          <w:bCs/>
          <w:sz w:val="24"/>
          <w:szCs w:val="24"/>
        </w:rPr>
        <w:t>Danielle Miner</w:t>
      </w:r>
      <w:r w:rsidR="00CC040D" w:rsidRPr="00B94A62">
        <w:rPr>
          <w:rFonts w:ascii="Arial" w:hAnsi="Arial" w:cs="Arial"/>
          <w:b/>
          <w:bCs/>
          <w:sz w:val="24"/>
          <w:szCs w:val="24"/>
        </w:rPr>
        <w:t xml:space="preserve"> at</w:t>
      </w:r>
      <w:r w:rsidR="00FB0D05" w:rsidRPr="00B94A62">
        <w:rPr>
          <w:rFonts w:ascii="Arial" w:hAnsi="Arial" w:cs="Arial"/>
          <w:b/>
          <w:bCs/>
          <w:sz w:val="24"/>
          <w:szCs w:val="24"/>
        </w:rPr>
        <w:t xml:space="preserve"> 301-677-</w:t>
      </w:r>
      <w:r w:rsidR="00820DE0" w:rsidRPr="00B94A62">
        <w:rPr>
          <w:rFonts w:ascii="Arial" w:hAnsi="Arial" w:cs="Arial"/>
          <w:b/>
          <w:bCs/>
          <w:sz w:val="24"/>
          <w:szCs w:val="24"/>
        </w:rPr>
        <w:t>6705</w:t>
      </w:r>
      <w:r w:rsidR="00286653" w:rsidRPr="00B94A62">
        <w:rPr>
          <w:rFonts w:ascii="Arial" w:hAnsi="Arial" w:cs="Arial"/>
          <w:b/>
          <w:bCs/>
          <w:sz w:val="24"/>
          <w:szCs w:val="24"/>
        </w:rPr>
        <w:t xml:space="preserve">, </w:t>
      </w:r>
      <w:r w:rsidR="00CC040D" w:rsidRPr="00B94A62">
        <w:rPr>
          <w:rFonts w:ascii="Arial" w:hAnsi="Arial" w:cs="Arial"/>
          <w:b/>
          <w:bCs/>
          <w:sz w:val="24"/>
          <w:szCs w:val="24"/>
        </w:rPr>
        <w:t xml:space="preserve">danielle.d.miner2.civ@mail.mil </w:t>
      </w:r>
      <w:r w:rsidR="00286653" w:rsidRPr="00B94A62">
        <w:rPr>
          <w:rFonts w:ascii="Arial" w:hAnsi="Arial" w:cs="Arial"/>
          <w:b/>
          <w:bCs/>
          <w:sz w:val="24"/>
          <w:szCs w:val="24"/>
        </w:rPr>
        <w:t xml:space="preserve">or Carol Tabb </w:t>
      </w:r>
      <w:r w:rsidR="00CC040D" w:rsidRPr="00B94A62">
        <w:rPr>
          <w:rFonts w:ascii="Arial" w:hAnsi="Arial" w:cs="Arial"/>
          <w:b/>
          <w:bCs/>
          <w:sz w:val="24"/>
          <w:szCs w:val="24"/>
        </w:rPr>
        <w:t xml:space="preserve">at </w:t>
      </w:r>
      <w:r w:rsidR="00820DE0" w:rsidRPr="00B94A62">
        <w:rPr>
          <w:rFonts w:ascii="Arial" w:hAnsi="Arial" w:cs="Arial"/>
          <w:b/>
          <w:bCs/>
          <w:sz w:val="24"/>
          <w:szCs w:val="24"/>
        </w:rPr>
        <w:t>301-677-9203</w:t>
      </w:r>
      <w:r w:rsidR="00CC040D" w:rsidRPr="00B94A62">
        <w:rPr>
          <w:rFonts w:ascii="Arial" w:hAnsi="Arial" w:cs="Arial"/>
          <w:b/>
          <w:bCs/>
          <w:sz w:val="24"/>
          <w:szCs w:val="24"/>
        </w:rPr>
        <w:t xml:space="preserve">, </w:t>
      </w:r>
      <w:r w:rsidR="00CC040D" w:rsidRPr="00B94A62">
        <w:rPr>
          <w:rFonts w:ascii="Arial" w:hAnsi="Arial" w:cs="Arial"/>
          <w:b/>
          <w:sz w:val="24"/>
          <w:szCs w:val="24"/>
        </w:rPr>
        <w:t>carol.m.tabb.civ@mail.mil</w:t>
      </w:r>
      <w:r w:rsidR="001A4747" w:rsidRPr="00B94A62">
        <w:rPr>
          <w:rFonts w:ascii="Arial" w:hAnsi="Arial" w:cs="Arial"/>
          <w:b/>
          <w:sz w:val="24"/>
          <w:szCs w:val="24"/>
        </w:rPr>
        <w:t>.</w:t>
      </w:r>
    </w:p>
    <w:p w:rsidR="00392326" w:rsidRPr="00B94A62" w:rsidRDefault="00392326" w:rsidP="00356925">
      <w:pPr>
        <w:tabs>
          <w:tab w:val="left" w:pos="3510"/>
          <w:tab w:val="left" w:pos="4680"/>
        </w:tabs>
        <w:spacing w:after="0" w:line="240" w:lineRule="auto"/>
        <w:rPr>
          <w:rFonts w:ascii="Arial" w:hAnsi="Arial" w:cs="Arial"/>
          <w:i/>
          <w:sz w:val="24"/>
          <w:szCs w:val="24"/>
        </w:rPr>
      </w:pPr>
    </w:p>
    <w:p w:rsidR="00392326" w:rsidRPr="00B94A62" w:rsidRDefault="00392326" w:rsidP="003A7BEA">
      <w:pPr>
        <w:tabs>
          <w:tab w:val="left" w:pos="3510"/>
          <w:tab w:val="left" w:pos="4680"/>
        </w:tabs>
        <w:rPr>
          <w:rFonts w:ascii="Arial" w:hAnsi="Arial" w:cs="Arial"/>
          <w:sz w:val="24"/>
          <w:szCs w:val="24"/>
        </w:rPr>
      </w:pPr>
      <w:r w:rsidRPr="00B94A62">
        <w:rPr>
          <w:rFonts w:ascii="Arial" w:hAnsi="Arial" w:cs="Arial"/>
          <w:b/>
          <w:sz w:val="24"/>
          <w:szCs w:val="24"/>
        </w:rPr>
        <w:t>9.  Facilities Requirement:  (IMCOM) IAW AR 5-10, describe what facilities must be constructed, converted, renovated, or leased to implement the action.  Provide facility costs and cost avoidance for both losing and gaining installations.  Identify specific projects, by fiscal year, which must be constructed to implement the preferred alternative or that must be canceled as a result of the action.  Additionally the DCS, G-6-CIO, through the Information Systems Engineering Command will assist in identifying Information Technology requirements and develop cost estimates that must be included in total facilities costs.  See sample facility requirements summary at figure 5-4.  May use Enclosure to provide information.</w:t>
      </w:r>
      <w:r w:rsidRPr="00B94A62">
        <w:rPr>
          <w:rFonts w:ascii="Arial" w:hAnsi="Arial" w:cs="Arial"/>
          <w:sz w:val="24"/>
          <w:szCs w:val="24"/>
        </w:rPr>
        <w:t xml:space="preserve"> </w:t>
      </w:r>
    </w:p>
    <w:p w:rsidR="00392326" w:rsidRPr="00B94A62" w:rsidRDefault="00392326" w:rsidP="003A7BEA">
      <w:pPr>
        <w:tabs>
          <w:tab w:val="left" w:pos="3510"/>
          <w:tab w:val="left" w:pos="4680"/>
        </w:tabs>
        <w:rPr>
          <w:rFonts w:ascii="Arial" w:hAnsi="Arial" w:cs="Arial"/>
          <w:i/>
          <w:sz w:val="24"/>
          <w:szCs w:val="24"/>
        </w:rPr>
      </w:pPr>
      <w:r w:rsidRPr="00B94A62">
        <w:rPr>
          <w:rFonts w:ascii="Arial" w:hAnsi="Arial" w:cs="Arial"/>
          <w:i/>
          <w:sz w:val="24"/>
          <w:szCs w:val="24"/>
        </w:rPr>
        <w:t>Examples:</w:t>
      </w:r>
    </w:p>
    <w:p w:rsidR="00392326" w:rsidRPr="00B94A62" w:rsidRDefault="00392326" w:rsidP="00E066DE">
      <w:pPr>
        <w:tabs>
          <w:tab w:val="left" w:pos="3510"/>
          <w:tab w:val="left" w:pos="4680"/>
        </w:tabs>
        <w:rPr>
          <w:rFonts w:ascii="Arial" w:hAnsi="Arial" w:cs="Arial"/>
          <w:i/>
          <w:sz w:val="24"/>
          <w:szCs w:val="24"/>
        </w:rPr>
      </w:pPr>
      <w:r w:rsidRPr="00B94A62">
        <w:rPr>
          <w:rFonts w:ascii="Arial" w:hAnsi="Arial" w:cs="Arial"/>
          <w:i/>
          <w:sz w:val="24"/>
          <w:szCs w:val="24"/>
        </w:rPr>
        <w:t xml:space="preserve">      a. Using standard planning formulas from the facility engineers, based on the number of personnel and grade levels, the activating and gaining unit(s) require(s) the following consolidated space:</w:t>
      </w:r>
    </w:p>
    <w:p w:rsidR="00392326" w:rsidRPr="00B94A62" w:rsidRDefault="00392326" w:rsidP="003A7BEA">
      <w:pPr>
        <w:tabs>
          <w:tab w:val="left" w:pos="3510"/>
          <w:tab w:val="left" w:pos="4680"/>
        </w:tabs>
        <w:rPr>
          <w:rFonts w:ascii="Arial" w:hAnsi="Arial" w:cs="Arial"/>
          <w:i/>
          <w:sz w:val="24"/>
          <w:szCs w:val="24"/>
        </w:rPr>
      </w:pPr>
      <w:r w:rsidRPr="00B94A62">
        <w:rPr>
          <w:rFonts w:ascii="Arial" w:hAnsi="Arial" w:cs="Arial"/>
          <w:i/>
          <w:sz w:val="24"/>
          <w:szCs w:val="24"/>
        </w:rPr>
        <w:t xml:space="preserve">     (1)  The facility requirements for this action will/will not be met.  Fort Story has/does not have existing facilities to support this stationing action.  Or, existing facilities will be used until permanent construction is available, as addressed in para 9a(3) below.  Or, existing facilities will be used with temporary/relocatables augmentation until permanent construction is available, as addressed in para 9a(3) below.</w:t>
      </w:r>
    </w:p>
    <w:p w:rsidR="00392326" w:rsidRPr="00B94A62" w:rsidRDefault="00392326" w:rsidP="003A7BEA">
      <w:pPr>
        <w:tabs>
          <w:tab w:val="left" w:pos="3510"/>
          <w:tab w:val="left" w:pos="4680"/>
        </w:tabs>
        <w:rPr>
          <w:rFonts w:ascii="Arial" w:hAnsi="Arial" w:cs="Arial"/>
          <w:i/>
          <w:sz w:val="24"/>
          <w:szCs w:val="24"/>
        </w:rPr>
      </w:pPr>
      <w:r w:rsidRPr="00B94A62">
        <w:rPr>
          <w:rFonts w:ascii="Arial" w:hAnsi="Arial" w:cs="Arial"/>
          <w:i/>
          <w:sz w:val="24"/>
          <w:szCs w:val="24"/>
        </w:rPr>
        <w:t xml:space="preserve">     (2)  Facility Utilization Plan (facility laydown).  </w:t>
      </w:r>
    </w:p>
    <w:p w:rsidR="00392326" w:rsidRPr="00B94A62" w:rsidRDefault="00392326" w:rsidP="003A7BEA">
      <w:pPr>
        <w:tabs>
          <w:tab w:val="left" w:pos="3510"/>
          <w:tab w:val="left" w:pos="4680"/>
        </w:tabs>
        <w:rPr>
          <w:rFonts w:ascii="Arial" w:hAnsi="Arial" w:cs="Arial"/>
          <w:i/>
          <w:sz w:val="24"/>
          <w:szCs w:val="24"/>
        </w:rPr>
      </w:pPr>
      <w:r w:rsidRPr="00B94A62">
        <w:rPr>
          <w:rFonts w:ascii="Arial" w:hAnsi="Arial" w:cs="Arial"/>
          <w:i/>
          <w:sz w:val="24"/>
          <w:szCs w:val="24"/>
        </w:rPr>
        <w:t>UNIT NAME:            ADMIN:</w:t>
      </w:r>
      <w:r w:rsidRPr="00B94A62">
        <w:rPr>
          <w:rFonts w:ascii="Arial" w:hAnsi="Arial" w:cs="Arial"/>
          <w:i/>
          <w:sz w:val="24"/>
          <w:szCs w:val="24"/>
        </w:rPr>
        <w:tab/>
        <w:t xml:space="preserve">    MAINT:    </w:t>
      </w:r>
      <w:r w:rsidRPr="00B94A62">
        <w:rPr>
          <w:rFonts w:ascii="Arial" w:hAnsi="Arial" w:cs="Arial"/>
          <w:i/>
          <w:sz w:val="24"/>
          <w:szCs w:val="24"/>
        </w:rPr>
        <w:tab/>
        <w:t xml:space="preserve">   BILLETS:</w:t>
      </w:r>
      <w:r w:rsidRPr="00B94A62">
        <w:rPr>
          <w:rFonts w:ascii="Arial" w:hAnsi="Arial" w:cs="Arial"/>
          <w:i/>
          <w:sz w:val="24"/>
          <w:szCs w:val="24"/>
        </w:rPr>
        <w:tab/>
      </w:r>
      <w:r w:rsidRPr="00B94A62">
        <w:rPr>
          <w:rFonts w:ascii="Arial" w:hAnsi="Arial" w:cs="Arial"/>
          <w:i/>
          <w:sz w:val="24"/>
          <w:szCs w:val="24"/>
        </w:rPr>
        <w:tab/>
      </w:r>
    </w:p>
    <w:p w:rsidR="00392326" w:rsidRPr="00B94A62" w:rsidRDefault="00392326" w:rsidP="00E066DE">
      <w:pPr>
        <w:tabs>
          <w:tab w:val="left" w:pos="3510"/>
          <w:tab w:val="left" w:pos="4680"/>
        </w:tabs>
        <w:spacing w:after="0" w:line="240" w:lineRule="auto"/>
        <w:rPr>
          <w:rFonts w:ascii="Arial" w:hAnsi="Arial" w:cs="Arial"/>
          <w:i/>
          <w:sz w:val="24"/>
          <w:szCs w:val="24"/>
        </w:rPr>
      </w:pPr>
    </w:p>
    <w:p w:rsidR="00392326" w:rsidRPr="00B94A62" w:rsidRDefault="00392326" w:rsidP="00E066DE">
      <w:pPr>
        <w:tabs>
          <w:tab w:val="left" w:pos="3510"/>
          <w:tab w:val="left" w:pos="4680"/>
        </w:tabs>
        <w:spacing w:after="0" w:line="240" w:lineRule="auto"/>
        <w:rPr>
          <w:rFonts w:ascii="Arial" w:hAnsi="Arial" w:cs="Arial"/>
          <w:i/>
          <w:sz w:val="24"/>
          <w:szCs w:val="24"/>
        </w:rPr>
      </w:pPr>
      <w:r w:rsidRPr="00B94A62">
        <w:rPr>
          <w:rFonts w:ascii="Arial" w:hAnsi="Arial" w:cs="Arial"/>
          <w:i/>
          <w:sz w:val="24"/>
          <w:szCs w:val="24"/>
        </w:rPr>
        <w:t xml:space="preserve">    (3)   Stationing action requires MILCON as the long term solution.  Facilities must be constructed, converted, renovated, or leased to support this action.  The following is DD Form 1391 information submitted to support stationing requirements.</w:t>
      </w:r>
    </w:p>
    <w:p w:rsidR="00392326" w:rsidRPr="00B94A62" w:rsidRDefault="00392326" w:rsidP="00E066DE">
      <w:pPr>
        <w:tabs>
          <w:tab w:val="left" w:pos="3510"/>
          <w:tab w:val="left" w:pos="4680"/>
        </w:tabs>
        <w:spacing w:after="0" w:line="240" w:lineRule="auto"/>
        <w:rPr>
          <w:rFonts w:ascii="Arial" w:hAnsi="Arial" w:cs="Arial"/>
          <w:i/>
          <w:sz w:val="24"/>
          <w:szCs w:val="24"/>
        </w:rPr>
      </w:pPr>
    </w:p>
    <w:p w:rsidR="00392326" w:rsidRPr="00B94A62" w:rsidRDefault="00392326" w:rsidP="00E066DE">
      <w:pPr>
        <w:tabs>
          <w:tab w:val="left" w:pos="3510"/>
          <w:tab w:val="left" w:pos="4680"/>
        </w:tabs>
        <w:spacing w:after="0" w:line="240" w:lineRule="auto"/>
        <w:rPr>
          <w:rFonts w:ascii="Arial" w:hAnsi="Arial" w:cs="Arial"/>
          <w:i/>
          <w:sz w:val="24"/>
          <w:szCs w:val="24"/>
        </w:rPr>
      </w:pPr>
      <w:r w:rsidRPr="00B94A62">
        <w:rPr>
          <w:rFonts w:ascii="Arial" w:hAnsi="Arial" w:cs="Arial"/>
          <w:i/>
          <w:sz w:val="24"/>
          <w:szCs w:val="24"/>
        </w:rPr>
        <w:t>Title:                                             MCA Project No.</w:t>
      </w:r>
      <w:r w:rsidRPr="00B94A62">
        <w:rPr>
          <w:rFonts w:ascii="Arial" w:hAnsi="Arial" w:cs="Arial"/>
          <w:i/>
          <w:sz w:val="24"/>
          <w:szCs w:val="24"/>
        </w:rPr>
        <w:tab/>
      </w:r>
      <w:r w:rsidRPr="00B94A62">
        <w:rPr>
          <w:rFonts w:ascii="Arial" w:hAnsi="Arial" w:cs="Arial"/>
          <w:i/>
          <w:sz w:val="24"/>
          <w:szCs w:val="24"/>
        </w:rPr>
        <w:tab/>
      </w:r>
      <w:r w:rsidRPr="00B94A62">
        <w:rPr>
          <w:rFonts w:ascii="Arial" w:hAnsi="Arial" w:cs="Arial"/>
          <w:i/>
          <w:sz w:val="24"/>
          <w:szCs w:val="24"/>
        </w:rPr>
        <w:tab/>
        <w:t>Date:</w:t>
      </w:r>
    </w:p>
    <w:p w:rsidR="00392326" w:rsidRPr="00B94A62" w:rsidRDefault="00392326" w:rsidP="00E066DE">
      <w:pPr>
        <w:tabs>
          <w:tab w:val="left" w:pos="3510"/>
          <w:tab w:val="left" w:pos="4680"/>
        </w:tabs>
        <w:spacing w:after="0" w:line="240" w:lineRule="auto"/>
        <w:rPr>
          <w:rFonts w:ascii="Arial" w:hAnsi="Arial" w:cs="Arial"/>
          <w:i/>
          <w:sz w:val="24"/>
          <w:szCs w:val="24"/>
        </w:rPr>
      </w:pPr>
    </w:p>
    <w:p w:rsidR="00392326" w:rsidRPr="00B94A62" w:rsidRDefault="00392326" w:rsidP="00E066DE">
      <w:pPr>
        <w:tabs>
          <w:tab w:val="left" w:pos="3510"/>
          <w:tab w:val="left" w:pos="4680"/>
        </w:tabs>
        <w:spacing w:after="0" w:line="240" w:lineRule="auto"/>
        <w:rPr>
          <w:rFonts w:ascii="Arial" w:hAnsi="Arial" w:cs="Arial"/>
          <w:i/>
          <w:sz w:val="24"/>
          <w:szCs w:val="24"/>
        </w:rPr>
      </w:pPr>
    </w:p>
    <w:p w:rsidR="00392326" w:rsidRPr="00B94A62" w:rsidRDefault="00392326" w:rsidP="00E066DE">
      <w:pPr>
        <w:tabs>
          <w:tab w:val="left" w:pos="3510"/>
          <w:tab w:val="left" w:pos="4680"/>
        </w:tabs>
        <w:spacing w:after="0" w:line="240" w:lineRule="auto"/>
        <w:rPr>
          <w:rFonts w:ascii="Arial" w:hAnsi="Arial" w:cs="Arial"/>
          <w:i/>
          <w:sz w:val="24"/>
          <w:szCs w:val="24"/>
        </w:rPr>
      </w:pPr>
      <w:r w:rsidRPr="00B94A62">
        <w:rPr>
          <w:rFonts w:ascii="Arial" w:hAnsi="Arial" w:cs="Arial"/>
          <w:i/>
          <w:sz w:val="24"/>
          <w:szCs w:val="24"/>
        </w:rPr>
        <w:t xml:space="preserve">    b.  The total facility requirement is $XXXX.  Fort Story has/has not programmed facility requirements.   Fort Story DPW has/has not requested the resources needed to satisfy facility requirements under their Resource Management Plan and Annual Work Plan and has/has not been advised that the resources will/will not be provided.   An alternate funding source is required and must be provided to support short fuse requirements that do not allow for adequate POM planning and programming. </w:t>
      </w:r>
    </w:p>
    <w:p w:rsidR="00392326" w:rsidRPr="00B94A62" w:rsidRDefault="00392326" w:rsidP="00E066DE">
      <w:pPr>
        <w:tabs>
          <w:tab w:val="left" w:pos="3510"/>
          <w:tab w:val="left" w:pos="4680"/>
        </w:tabs>
        <w:spacing w:after="0" w:line="240" w:lineRule="auto"/>
        <w:rPr>
          <w:rFonts w:ascii="Arial" w:hAnsi="Arial" w:cs="Arial"/>
          <w:b/>
          <w:sz w:val="24"/>
          <w:szCs w:val="24"/>
        </w:rPr>
      </w:pPr>
    </w:p>
    <w:p w:rsidR="00392326" w:rsidRPr="00B94A62" w:rsidRDefault="00392326" w:rsidP="00F25217">
      <w:pPr>
        <w:tabs>
          <w:tab w:val="left" w:pos="3510"/>
          <w:tab w:val="left" w:pos="4680"/>
        </w:tabs>
        <w:spacing w:after="0" w:line="240" w:lineRule="auto"/>
        <w:rPr>
          <w:rFonts w:ascii="Arial" w:hAnsi="Arial" w:cs="Arial"/>
          <w:b/>
          <w:sz w:val="24"/>
          <w:szCs w:val="24"/>
        </w:rPr>
      </w:pPr>
      <w:r w:rsidRPr="00B94A62">
        <w:rPr>
          <w:rFonts w:ascii="Arial" w:hAnsi="Arial" w:cs="Arial"/>
          <w:b/>
          <w:sz w:val="24"/>
          <w:szCs w:val="24"/>
        </w:rPr>
        <w:t xml:space="preserve">Note:   ACOMs should identify any unique facility requirements, i.e. SCIF, co-location with new or existing unit, etc. </w:t>
      </w:r>
      <w:r w:rsidR="00FB3EE8" w:rsidRPr="00B94A62">
        <w:rPr>
          <w:rFonts w:ascii="Arial" w:hAnsi="Arial" w:cs="Arial"/>
          <w:b/>
          <w:sz w:val="24"/>
          <w:szCs w:val="24"/>
        </w:rPr>
        <w:t xml:space="preserve">  The future site of the organization must be established prior to package submission.  POC for DPW is the Director at 301-677-9560, Angela Thomas at 301-677-9850</w:t>
      </w:r>
      <w:r w:rsidR="004F6297" w:rsidRPr="00B94A62">
        <w:rPr>
          <w:rFonts w:ascii="Arial" w:hAnsi="Arial" w:cs="Arial"/>
          <w:b/>
          <w:sz w:val="24"/>
          <w:szCs w:val="24"/>
        </w:rPr>
        <w:t>,</w:t>
      </w:r>
      <w:r w:rsidR="004F6297" w:rsidRPr="00B94A62">
        <w:rPr>
          <w:rFonts w:ascii="Arial" w:hAnsi="Arial" w:cs="Arial"/>
          <w:sz w:val="24"/>
          <w:szCs w:val="24"/>
        </w:rPr>
        <w:t xml:space="preserve"> </w:t>
      </w:r>
      <w:r w:rsidR="004F6297" w:rsidRPr="00B94A62">
        <w:rPr>
          <w:rFonts w:ascii="Arial" w:hAnsi="Arial" w:cs="Arial"/>
          <w:b/>
          <w:sz w:val="24"/>
          <w:szCs w:val="24"/>
        </w:rPr>
        <w:t xml:space="preserve">angela.v.thomas3.civ@mail.mil </w:t>
      </w:r>
      <w:r w:rsidR="00FB3EE8" w:rsidRPr="00B94A62">
        <w:rPr>
          <w:rFonts w:ascii="Arial" w:hAnsi="Arial" w:cs="Arial"/>
          <w:b/>
          <w:sz w:val="24"/>
          <w:szCs w:val="24"/>
        </w:rPr>
        <w:t>or Paula Crouse at 301-677-9180</w:t>
      </w:r>
      <w:r w:rsidR="004F6297" w:rsidRPr="00B94A62">
        <w:rPr>
          <w:rFonts w:ascii="Arial" w:hAnsi="Arial" w:cs="Arial"/>
          <w:b/>
          <w:sz w:val="24"/>
          <w:szCs w:val="24"/>
        </w:rPr>
        <w:t>,</w:t>
      </w:r>
      <w:r w:rsidRPr="00B94A62">
        <w:rPr>
          <w:rFonts w:ascii="Arial" w:hAnsi="Arial" w:cs="Arial"/>
          <w:b/>
          <w:sz w:val="24"/>
          <w:szCs w:val="24"/>
        </w:rPr>
        <w:t xml:space="preserve"> </w:t>
      </w:r>
      <w:r w:rsidR="004F6297" w:rsidRPr="00B94A62">
        <w:rPr>
          <w:rFonts w:ascii="Arial" w:hAnsi="Arial" w:cs="Arial"/>
          <w:b/>
          <w:sz w:val="24"/>
          <w:szCs w:val="24"/>
        </w:rPr>
        <w:t>paula.j.crouse2.civ@mail.mil.</w:t>
      </w:r>
    </w:p>
    <w:p w:rsidR="00392326" w:rsidRPr="00B94A62" w:rsidRDefault="00392326" w:rsidP="00356925">
      <w:pPr>
        <w:pStyle w:val="NoSpacing"/>
        <w:ind w:left="360"/>
        <w:rPr>
          <w:rFonts w:ascii="Arial" w:hAnsi="Arial" w:cs="Arial"/>
          <w:sz w:val="24"/>
          <w:szCs w:val="24"/>
        </w:rPr>
      </w:pPr>
      <w:r w:rsidRPr="00B94A62">
        <w:rPr>
          <w:rFonts w:ascii="Arial" w:hAnsi="Arial" w:cs="Arial"/>
          <w:sz w:val="24"/>
          <w:szCs w:val="24"/>
        </w:rPr>
        <w:t xml:space="preserve"> .</w:t>
      </w:r>
    </w:p>
    <w:p w:rsidR="00392326" w:rsidRPr="00B94A62" w:rsidRDefault="00392326" w:rsidP="006A3C60">
      <w:pPr>
        <w:rPr>
          <w:rFonts w:ascii="Arial" w:hAnsi="Arial" w:cs="Arial"/>
          <w:b/>
          <w:sz w:val="24"/>
          <w:szCs w:val="24"/>
        </w:rPr>
      </w:pPr>
      <w:bookmarkStart w:id="6" w:name="s25-2b(10)"/>
      <w:bookmarkEnd w:id="6"/>
      <w:r w:rsidRPr="00B94A62">
        <w:rPr>
          <w:rFonts w:ascii="Arial" w:hAnsi="Arial" w:cs="Arial"/>
          <w:b/>
          <w:sz w:val="24"/>
          <w:szCs w:val="24"/>
        </w:rPr>
        <w:t>10.  Training Land Requirements.  (ACOM</w:t>
      </w:r>
      <w:r w:rsidR="00E0799C" w:rsidRPr="00B94A62">
        <w:rPr>
          <w:rFonts w:ascii="Arial" w:hAnsi="Arial" w:cs="Arial"/>
          <w:b/>
          <w:sz w:val="24"/>
          <w:szCs w:val="24"/>
        </w:rPr>
        <w:t>/IMCOM</w:t>
      </w:r>
      <w:r w:rsidRPr="00B94A62">
        <w:rPr>
          <w:rFonts w:ascii="Arial" w:hAnsi="Arial" w:cs="Arial"/>
          <w:b/>
          <w:sz w:val="24"/>
          <w:szCs w:val="24"/>
        </w:rPr>
        <w:t xml:space="preserve">)  IAW AR 5-10, describe what new or diverted land requirements (i.e. configuration, capacity, and characteristics) will be needed to support unit training if the proposed action is approved.  </w:t>
      </w:r>
    </w:p>
    <w:p w:rsidR="00392326" w:rsidRPr="00B94A62" w:rsidRDefault="00392326" w:rsidP="006A3C60">
      <w:pPr>
        <w:rPr>
          <w:rFonts w:ascii="Arial" w:hAnsi="Arial" w:cs="Arial"/>
          <w:b/>
          <w:sz w:val="24"/>
          <w:szCs w:val="24"/>
        </w:rPr>
      </w:pPr>
      <w:r w:rsidRPr="00B94A62">
        <w:rPr>
          <w:rFonts w:ascii="Arial" w:hAnsi="Arial" w:cs="Arial"/>
          <w:b/>
          <w:sz w:val="24"/>
          <w:szCs w:val="24"/>
        </w:rPr>
        <w:t>(IMCOM) IAW AR 5-10, identify whether changes to training land use will increase or decrease utilization intensity and any potential costs associated with sustaining the land (i.e. rehabilitation or rejuvenation).  Identify all MILCON projects that would be canceled in order to mitigate any existing training land availability shortfalls by fiscal year.  Describe the current status of the installation land use requirements study (LURS) according to AR 210-21 and AR 405-10 to support the proposed action.</w:t>
      </w:r>
    </w:p>
    <w:p w:rsidR="00FB3EE8" w:rsidRPr="00B94A62" w:rsidRDefault="00FB3EE8" w:rsidP="006A3C60">
      <w:pPr>
        <w:rPr>
          <w:rFonts w:ascii="Arial" w:hAnsi="Arial" w:cs="Arial"/>
          <w:b/>
          <w:sz w:val="24"/>
          <w:szCs w:val="24"/>
        </w:rPr>
      </w:pPr>
      <w:r w:rsidRPr="00B94A62">
        <w:rPr>
          <w:rFonts w:ascii="Arial" w:hAnsi="Arial" w:cs="Arial"/>
          <w:b/>
          <w:sz w:val="24"/>
          <w:szCs w:val="24"/>
        </w:rPr>
        <w:t xml:space="preserve">POC for questions pertaining to training requirements is the Director of Plans, </w:t>
      </w:r>
      <w:r w:rsidR="006133D8" w:rsidRPr="00B94A62">
        <w:rPr>
          <w:rFonts w:ascii="Arial" w:hAnsi="Arial" w:cs="Arial"/>
          <w:b/>
          <w:sz w:val="24"/>
          <w:szCs w:val="24"/>
        </w:rPr>
        <w:t>Training, Mobilization and Security</w:t>
      </w:r>
      <w:r w:rsidRPr="00B94A62">
        <w:rPr>
          <w:rFonts w:ascii="Arial" w:hAnsi="Arial" w:cs="Arial"/>
          <w:b/>
          <w:sz w:val="24"/>
          <w:szCs w:val="24"/>
        </w:rPr>
        <w:t>, Mary Staab at 301-677-6231</w:t>
      </w:r>
      <w:r w:rsidR="0093093B" w:rsidRPr="00B94A62">
        <w:rPr>
          <w:rFonts w:ascii="Arial" w:hAnsi="Arial" w:cs="Arial"/>
          <w:b/>
          <w:sz w:val="24"/>
          <w:szCs w:val="24"/>
        </w:rPr>
        <w:t>, mary.a.staab.civ@mail.mil</w:t>
      </w:r>
      <w:r w:rsidR="004F6297" w:rsidRPr="00B94A62">
        <w:rPr>
          <w:rFonts w:ascii="Arial" w:hAnsi="Arial" w:cs="Arial"/>
          <w:b/>
          <w:sz w:val="24"/>
          <w:szCs w:val="24"/>
        </w:rPr>
        <w:t>.</w:t>
      </w:r>
    </w:p>
    <w:p w:rsidR="0060725C" w:rsidRPr="00B94A62" w:rsidRDefault="00392326" w:rsidP="00F31333">
      <w:pPr>
        <w:rPr>
          <w:rFonts w:ascii="Arial" w:hAnsi="Arial" w:cs="Arial"/>
          <w:b/>
          <w:sz w:val="24"/>
          <w:szCs w:val="24"/>
        </w:rPr>
      </w:pPr>
      <w:bookmarkStart w:id="7" w:name="s25-2b(11)"/>
      <w:bookmarkEnd w:id="7"/>
      <w:r w:rsidRPr="00B94A62">
        <w:rPr>
          <w:rFonts w:ascii="Arial" w:hAnsi="Arial" w:cs="Arial"/>
          <w:b/>
          <w:sz w:val="24"/>
          <w:szCs w:val="24"/>
        </w:rPr>
        <w:t>11.  Environmental Impacts:  (IMCOM) IAW AR 5-10, state the type of environmental analysis that was performed.  Environment documentation, signed by the installation environmental representative, will be included as an enclosure to the stationing package.</w:t>
      </w:r>
    </w:p>
    <w:p w:rsidR="00392326" w:rsidRPr="00B94A62" w:rsidRDefault="0060725C" w:rsidP="00F31333">
      <w:pPr>
        <w:rPr>
          <w:rFonts w:ascii="Arial" w:hAnsi="Arial" w:cs="Arial"/>
          <w:b/>
          <w:sz w:val="24"/>
          <w:szCs w:val="24"/>
        </w:rPr>
      </w:pPr>
      <w:r w:rsidRPr="00B94A62">
        <w:rPr>
          <w:rFonts w:ascii="Arial" w:hAnsi="Arial" w:cs="Arial"/>
          <w:b/>
          <w:sz w:val="24"/>
          <w:szCs w:val="24"/>
        </w:rPr>
        <w:t>POC for questions pertaining to environmental impacts is the DPW Environmental Office, John Houchins at 301-677-9188</w:t>
      </w:r>
      <w:r w:rsidR="004F6297" w:rsidRPr="00B94A62">
        <w:rPr>
          <w:rFonts w:ascii="Arial" w:hAnsi="Arial" w:cs="Arial"/>
          <w:b/>
          <w:sz w:val="24"/>
          <w:szCs w:val="24"/>
        </w:rPr>
        <w:t xml:space="preserve">, john.w.houchins2.civ@mail.mil, </w:t>
      </w:r>
      <w:r w:rsidRPr="00B94A62">
        <w:rPr>
          <w:rFonts w:ascii="Arial" w:hAnsi="Arial" w:cs="Arial"/>
          <w:b/>
          <w:sz w:val="24"/>
          <w:szCs w:val="24"/>
        </w:rPr>
        <w:t>or</w:t>
      </w:r>
      <w:r w:rsidR="00F6795F" w:rsidRPr="00B94A62">
        <w:rPr>
          <w:rFonts w:ascii="Arial" w:hAnsi="Arial" w:cs="Arial"/>
          <w:b/>
          <w:sz w:val="24"/>
          <w:szCs w:val="24"/>
        </w:rPr>
        <w:t xml:space="preserve"> Suzanne </w:t>
      </w:r>
      <w:r w:rsidR="006133D8" w:rsidRPr="00B94A62">
        <w:rPr>
          <w:rFonts w:ascii="Arial" w:hAnsi="Arial" w:cs="Arial"/>
          <w:b/>
          <w:sz w:val="24"/>
          <w:szCs w:val="24"/>
        </w:rPr>
        <w:t>Kopich</w:t>
      </w:r>
      <w:r w:rsidR="00F6795F" w:rsidRPr="00B94A62">
        <w:rPr>
          <w:rFonts w:ascii="Arial" w:hAnsi="Arial" w:cs="Arial"/>
          <w:b/>
          <w:sz w:val="24"/>
          <w:szCs w:val="24"/>
        </w:rPr>
        <w:t xml:space="preserve"> at 301-677-9185,</w:t>
      </w:r>
      <w:r w:rsidR="00F6795F" w:rsidRPr="00B94A62">
        <w:rPr>
          <w:rFonts w:ascii="Arial" w:hAnsi="Arial" w:cs="Arial"/>
          <w:sz w:val="24"/>
          <w:szCs w:val="24"/>
        </w:rPr>
        <w:t xml:space="preserve"> </w:t>
      </w:r>
      <w:r w:rsidR="00F6795F" w:rsidRPr="00B94A62">
        <w:rPr>
          <w:rFonts w:ascii="Arial" w:hAnsi="Arial" w:cs="Arial"/>
          <w:b/>
          <w:sz w:val="24"/>
          <w:szCs w:val="24"/>
        </w:rPr>
        <w:t>suzanne.m.kopich.civ@mail.mil.</w:t>
      </w:r>
      <w:r w:rsidR="00392326" w:rsidRPr="00B94A62">
        <w:rPr>
          <w:rFonts w:ascii="Arial" w:hAnsi="Arial" w:cs="Arial"/>
          <w:b/>
          <w:sz w:val="24"/>
          <w:szCs w:val="24"/>
        </w:rPr>
        <w:t xml:space="preserve">   </w:t>
      </w:r>
    </w:p>
    <w:p w:rsidR="00392326" w:rsidRPr="00B94A62" w:rsidRDefault="00392326" w:rsidP="00290ECA">
      <w:pPr>
        <w:tabs>
          <w:tab w:val="left" w:pos="360"/>
          <w:tab w:val="left" w:pos="720"/>
        </w:tabs>
        <w:rPr>
          <w:rFonts w:ascii="Arial" w:hAnsi="Arial" w:cs="Arial"/>
          <w:b/>
          <w:sz w:val="24"/>
          <w:szCs w:val="24"/>
        </w:rPr>
      </w:pPr>
      <w:r w:rsidRPr="00B94A62">
        <w:rPr>
          <w:rFonts w:ascii="Arial" w:hAnsi="Arial" w:cs="Arial"/>
          <w:b/>
          <w:sz w:val="24"/>
          <w:szCs w:val="24"/>
        </w:rPr>
        <w:t xml:space="preserve">12.  Quality of Life (QOL) Requirements: (ACOM/IMCOM) IAW AR 5-10, identify required initiatives to be taken to ensure adequate QOL is maintained for all personnel.  </w:t>
      </w:r>
    </w:p>
    <w:p w:rsidR="00392326" w:rsidRPr="00B94A62" w:rsidRDefault="00392326" w:rsidP="00290ECA">
      <w:pPr>
        <w:tabs>
          <w:tab w:val="left" w:pos="360"/>
          <w:tab w:val="left" w:pos="720"/>
        </w:tabs>
        <w:rPr>
          <w:rFonts w:ascii="Arial" w:hAnsi="Arial" w:cs="Arial"/>
          <w:i/>
          <w:sz w:val="24"/>
          <w:szCs w:val="24"/>
        </w:rPr>
      </w:pPr>
      <w:r w:rsidRPr="00B94A62">
        <w:rPr>
          <w:rFonts w:ascii="Arial" w:hAnsi="Arial" w:cs="Arial"/>
          <w:i/>
          <w:sz w:val="24"/>
          <w:szCs w:val="24"/>
        </w:rPr>
        <w:t xml:space="preserve">Example:  QOL requirements will be minimal as the stationing occurs at an existing IMCOM installation.  Current MWR services meet or exceed unit requirement. </w:t>
      </w:r>
    </w:p>
    <w:p w:rsidR="0093093B" w:rsidRPr="00B94A62" w:rsidRDefault="00392326" w:rsidP="00B94A62">
      <w:pPr>
        <w:rPr>
          <w:rFonts w:ascii="Arial" w:hAnsi="Arial" w:cs="Arial"/>
          <w:b/>
          <w:sz w:val="24"/>
          <w:szCs w:val="24"/>
        </w:rPr>
      </w:pPr>
      <w:bookmarkStart w:id="8" w:name="s25-2b(13)"/>
      <w:bookmarkEnd w:id="8"/>
      <w:r w:rsidRPr="00B94A62">
        <w:rPr>
          <w:rFonts w:ascii="Arial" w:hAnsi="Arial" w:cs="Arial"/>
          <w:b/>
          <w:sz w:val="24"/>
          <w:szCs w:val="24"/>
        </w:rPr>
        <w:t>13.  Coordination of Funding.  (ACOM/IMCOM) IAW AR 5-10, provide the name, title, office, telephone number, and email address of the appropriate RM point of contact at the gaining or losing  installation and the ACOM (generating the stationing action).</w:t>
      </w:r>
    </w:p>
    <w:p w:rsidR="00F6795F" w:rsidRPr="00B94A62" w:rsidRDefault="00392326" w:rsidP="006A3C60">
      <w:pPr>
        <w:rPr>
          <w:rFonts w:ascii="Arial" w:hAnsi="Arial" w:cs="Arial"/>
          <w:i/>
          <w:sz w:val="24"/>
          <w:szCs w:val="24"/>
        </w:rPr>
      </w:pPr>
      <w:r w:rsidRPr="00B94A62">
        <w:rPr>
          <w:rFonts w:ascii="Arial" w:hAnsi="Arial" w:cs="Arial"/>
          <w:b/>
          <w:i/>
          <w:sz w:val="24"/>
          <w:szCs w:val="24"/>
        </w:rPr>
        <w:t>Example:</w:t>
      </w:r>
      <w:r w:rsidRPr="00B94A62">
        <w:rPr>
          <w:rFonts w:ascii="Arial" w:hAnsi="Arial" w:cs="Arial"/>
          <w:i/>
          <w:sz w:val="24"/>
          <w:szCs w:val="24"/>
        </w:rPr>
        <w:t xml:space="preserve">  The RM points of contact are listed below. </w:t>
      </w:r>
    </w:p>
    <w:p w:rsidR="00392326" w:rsidRPr="00B94A62" w:rsidRDefault="00F6795F" w:rsidP="00F6795F">
      <w:pPr>
        <w:pStyle w:val="ListParagraph"/>
        <w:numPr>
          <w:ilvl w:val="0"/>
          <w:numId w:val="17"/>
        </w:numPr>
        <w:rPr>
          <w:rFonts w:ascii="Arial" w:hAnsi="Arial" w:cs="Arial"/>
          <w:i/>
          <w:sz w:val="24"/>
          <w:szCs w:val="24"/>
        </w:rPr>
      </w:pPr>
      <w:r w:rsidRPr="00B94A62">
        <w:rPr>
          <w:rFonts w:ascii="Arial" w:hAnsi="Arial" w:cs="Arial"/>
          <w:i/>
          <w:sz w:val="24"/>
          <w:szCs w:val="24"/>
        </w:rPr>
        <w:t>ACOM RM:</w:t>
      </w:r>
      <w:r w:rsidR="00392326" w:rsidRPr="00B94A62">
        <w:rPr>
          <w:rFonts w:ascii="Arial" w:hAnsi="Arial" w:cs="Arial"/>
          <w:i/>
          <w:sz w:val="24"/>
          <w:szCs w:val="24"/>
        </w:rPr>
        <w:t xml:space="preserve"> </w:t>
      </w:r>
    </w:p>
    <w:p w:rsidR="00C11697" w:rsidRPr="00B94A62" w:rsidRDefault="00C11697" w:rsidP="00C11697">
      <w:pPr>
        <w:spacing w:after="0" w:line="240" w:lineRule="auto"/>
        <w:rPr>
          <w:rFonts w:ascii="Arial" w:hAnsi="Arial" w:cs="Arial"/>
          <w:b/>
          <w:sz w:val="24"/>
          <w:szCs w:val="24"/>
        </w:rPr>
      </w:pPr>
      <w:bookmarkStart w:id="9" w:name="s25-2b(14)"/>
      <w:bookmarkEnd w:id="9"/>
      <w:r w:rsidRPr="00B94A62">
        <w:rPr>
          <w:rFonts w:ascii="Arial" w:hAnsi="Arial" w:cs="Arial"/>
          <w:b/>
          <w:sz w:val="24"/>
          <w:szCs w:val="24"/>
        </w:rPr>
        <w:t>Name:</w:t>
      </w:r>
    </w:p>
    <w:p w:rsidR="00C11697" w:rsidRPr="00B94A62" w:rsidRDefault="00C11697" w:rsidP="00C11697">
      <w:pPr>
        <w:spacing w:after="0" w:line="240" w:lineRule="auto"/>
        <w:rPr>
          <w:rFonts w:ascii="Arial" w:hAnsi="Arial" w:cs="Arial"/>
          <w:b/>
          <w:sz w:val="24"/>
          <w:szCs w:val="24"/>
        </w:rPr>
      </w:pPr>
      <w:r w:rsidRPr="00B94A62">
        <w:rPr>
          <w:rFonts w:ascii="Arial" w:hAnsi="Arial" w:cs="Arial"/>
          <w:b/>
          <w:sz w:val="24"/>
          <w:szCs w:val="24"/>
        </w:rPr>
        <w:t xml:space="preserve">Office: </w:t>
      </w:r>
    </w:p>
    <w:p w:rsidR="00C11697" w:rsidRPr="00B94A62" w:rsidRDefault="00C11697" w:rsidP="00C11697">
      <w:pPr>
        <w:spacing w:after="0" w:line="240" w:lineRule="auto"/>
        <w:rPr>
          <w:rFonts w:ascii="Arial" w:hAnsi="Arial" w:cs="Arial"/>
          <w:b/>
          <w:sz w:val="24"/>
          <w:szCs w:val="24"/>
        </w:rPr>
      </w:pPr>
      <w:r w:rsidRPr="00B94A62">
        <w:rPr>
          <w:rFonts w:ascii="Arial" w:hAnsi="Arial" w:cs="Arial"/>
          <w:b/>
          <w:sz w:val="24"/>
          <w:szCs w:val="24"/>
        </w:rPr>
        <w:t xml:space="preserve">Phone Number:  </w:t>
      </w:r>
    </w:p>
    <w:p w:rsidR="00392326" w:rsidRPr="00B94A62" w:rsidRDefault="00C11697" w:rsidP="00C11697">
      <w:pPr>
        <w:spacing w:after="0" w:line="240" w:lineRule="auto"/>
        <w:rPr>
          <w:rFonts w:ascii="Arial" w:hAnsi="Arial" w:cs="Arial"/>
          <w:b/>
          <w:sz w:val="24"/>
          <w:szCs w:val="24"/>
        </w:rPr>
      </w:pPr>
      <w:r w:rsidRPr="00B94A62">
        <w:rPr>
          <w:rFonts w:ascii="Arial" w:hAnsi="Arial" w:cs="Arial"/>
          <w:b/>
          <w:sz w:val="24"/>
          <w:szCs w:val="24"/>
        </w:rPr>
        <w:t xml:space="preserve">Email Address:  </w:t>
      </w:r>
    </w:p>
    <w:p w:rsidR="00C11697" w:rsidRPr="00B94A62" w:rsidRDefault="00C11697" w:rsidP="00C11697">
      <w:pPr>
        <w:spacing w:after="0" w:line="240" w:lineRule="auto"/>
        <w:rPr>
          <w:rFonts w:ascii="Arial" w:hAnsi="Arial" w:cs="Arial"/>
          <w:b/>
          <w:sz w:val="24"/>
          <w:szCs w:val="24"/>
        </w:rPr>
      </w:pPr>
    </w:p>
    <w:p w:rsidR="00F6795F" w:rsidRPr="00B94A62" w:rsidRDefault="00F6795F" w:rsidP="00F6795F">
      <w:pPr>
        <w:pStyle w:val="ListParagraph"/>
        <w:numPr>
          <w:ilvl w:val="0"/>
          <w:numId w:val="17"/>
        </w:numPr>
        <w:rPr>
          <w:rFonts w:ascii="Arial" w:hAnsi="Arial" w:cs="Arial"/>
          <w:b/>
          <w:i/>
          <w:sz w:val="24"/>
          <w:szCs w:val="24"/>
        </w:rPr>
      </w:pPr>
      <w:r w:rsidRPr="00B94A62">
        <w:rPr>
          <w:rFonts w:ascii="Arial" w:hAnsi="Arial" w:cs="Arial"/>
          <w:b/>
          <w:i/>
          <w:sz w:val="24"/>
          <w:szCs w:val="24"/>
        </w:rPr>
        <w:t>FMMD RM POC:</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Name:  Danielle Miner</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Office:  FMMD RMO</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Phone Number: </w:t>
      </w:r>
      <w:r w:rsidR="001A4747" w:rsidRPr="00B94A62">
        <w:rPr>
          <w:rFonts w:ascii="Arial" w:hAnsi="Arial" w:cs="Arial"/>
          <w:b/>
          <w:sz w:val="24"/>
          <w:szCs w:val="24"/>
        </w:rPr>
        <w:t>301-677-6705</w:t>
      </w:r>
      <w:r w:rsidRPr="00B94A62">
        <w:rPr>
          <w:rFonts w:ascii="Arial" w:hAnsi="Arial" w:cs="Arial"/>
          <w:b/>
          <w:sz w:val="24"/>
          <w:szCs w:val="24"/>
        </w:rPr>
        <w:t xml:space="preserve"> </w:t>
      </w:r>
    </w:p>
    <w:p w:rsidR="00C11697" w:rsidRPr="00B94A62" w:rsidRDefault="00C11697" w:rsidP="00172C06">
      <w:pPr>
        <w:autoSpaceDE w:val="0"/>
        <w:autoSpaceDN w:val="0"/>
        <w:adjustRightInd w:val="0"/>
        <w:spacing w:after="0" w:line="240" w:lineRule="auto"/>
        <w:rPr>
          <w:rFonts w:ascii="Arial" w:hAnsi="Arial" w:cs="Arial"/>
          <w:sz w:val="24"/>
          <w:szCs w:val="24"/>
        </w:rPr>
      </w:pPr>
      <w:r w:rsidRPr="00B94A62">
        <w:rPr>
          <w:rFonts w:ascii="Arial" w:hAnsi="Arial" w:cs="Arial"/>
          <w:b/>
          <w:sz w:val="24"/>
          <w:szCs w:val="24"/>
        </w:rPr>
        <w:t xml:space="preserve">Email Address:  </w:t>
      </w:r>
      <w:r w:rsidR="001A4747" w:rsidRPr="00B94A62">
        <w:rPr>
          <w:rFonts w:ascii="Arial" w:hAnsi="Arial" w:cs="Arial"/>
          <w:b/>
          <w:sz w:val="24"/>
          <w:szCs w:val="24"/>
        </w:rPr>
        <w:t>Danielle.d.miner2.civ@mail.mil</w:t>
      </w:r>
    </w:p>
    <w:p w:rsidR="00F6795F" w:rsidRPr="00B94A62" w:rsidRDefault="00F6795F" w:rsidP="00F6795F">
      <w:pPr>
        <w:pStyle w:val="ListParagraph"/>
        <w:spacing w:after="0" w:line="240" w:lineRule="auto"/>
        <w:rPr>
          <w:rFonts w:ascii="Arial" w:hAnsi="Arial" w:cs="Arial"/>
          <w:b/>
          <w:sz w:val="24"/>
          <w:szCs w:val="24"/>
        </w:rPr>
      </w:pPr>
    </w:p>
    <w:p w:rsidR="00392326" w:rsidRPr="00B94A62" w:rsidRDefault="00392326" w:rsidP="00290ECA">
      <w:pPr>
        <w:spacing w:after="0" w:line="240" w:lineRule="auto"/>
        <w:rPr>
          <w:rFonts w:ascii="Arial" w:hAnsi="Arial" w:cs="Arial"/>
          <w:b/>
          <w:sz w:val="24"/>
          <w:szCs w:val="24"/>
        </w:rPr>
      </w:pPr>
    </w:p>
    <w:p w:rsidR="00392326" w:rsidRPr="00B94A62" w:rsidRDefault="00392326" w:rsidP="004A3040">
      <w:pPr>
        <w:rPr>
          <w:rFonts w:ascii="Arial" w:hAnsi="Arial" w:cs="Arial"/>
          <w:b/>
          <w:sz w:val="24"/>
          <w:szCs w:val="24"/>
        </w:rPr>
      </w:pPr>
      <w:r w:rsidRPr="00B94A62">
        <w:rPr>
          <w:rFonts w:ascii="Arial" w:hAnsi="Arial" w:cs="Arial"/>
          <w:b/>
          <w:sz w:val="24"/>
          <w:szCs w:val="24"/>
        </w:rPr>
        <w:t>14.  Impact on RC Training and Support. (ACOM/IMCOM) IAW AR 5-10, identify the impact on training areas, ranges, readiness, annual training facilities, and unit training affiliations.</w:t>
      </w:r>
    </w:p>
    <w:p w:rsidR="00392326" w:rsidRPr="00B94A62" w:rsidRDefault="00392326" w:rsidP="004A3040">
      <w:pPr>
        <w:rPr>
          <w:rFonts w:ascii="Arial" w:hAnsi="Arial" w:cs="Arial"/>
          <w:i/>
          <w:sz w:val="24"/>
          <w:szCs w:val="24"/>
        </w:rPr>
      </w:pPr>
      <w:r w:rsidRPr="00B94A62">
        <w:rPr>
          <w:rFonts w:ascii="Arial" w:hAnsi="Arial" w:cs="Arial"/>
          <w:i/>
          <w:sz w:val="24"/>
          <w:szCs w:val="24"/>
        </w:rPr>
        <w:t>Example:  There is no Reserve Component impact anticipated as a result of this stationing action.  Or, there is Reserve Component impact anticipated as a result of this stationing action.  The impact will be xxxxx.  Impact may be mitigated by taking the following actions: 1) xxxxx and 2) xxxxx.</w:t>
      </w:r>
    </w:p>
    <w:p w:rsidR="00A97D0C" w:rsidRPr="00B94A62" w:rsidRDefault="00A97D0C" w:rsidP="004A3040">
      <w:pPr>
        <w:rPr>
          <w:rFonts w:ascii="Arial" w:hAnsi="Arial" w:cs="Arial"/>
          <w:b/>
          <w:sz w:val="24"/>
          <w:szCs w:val="24"/>
        </w:rPr>
      </w:pPr>
      <w:r w:rsidRPr="00B94A62">
        <w:rPr>
          <w:rFonts w:ascii="Arial" w:hAnsi="Arial" w:cs="Arial"/>
          <w:b/>
          <w:sz w:val="24"/>
          <w:szCs w:val="24"/>
        </w:rPr>
        <w:t>POC for questions regarding Reserve Component Training is the DPTMS, Mary Staab at 301-677-6231 or mary.a.staab.civ</w:t>
      </w:r>
      <w:r w:rsidR="00FA1B1A" w:rsidRPr="00B94A62">
        <w:rPr>
          <w:rFonts w:ascii="Arial" w:hAnsi="Arial" w:cs="Arial"/>
          <w:b/>
          <w:sz w:val="24"/>
          <w:szCs w:val="24"/>
        </w:rPr>
        <w:t>@mail.mil.</w:t>
      </w:r>
    </w:p>
    <w:p w:rsidR="00392326" w:rsidRPr="00B94A62" w:rsidRDefault="00392326" w:rsidP="00CB6837">
      <w:pPr>
        <w:tabs>
          <w:tab w:val="left" w:pos="360"/>
          <w:tab w:val="left" w:pos="720"/>
        </w:tabs>
        <w:rPr>
          <w:rFonts w:ascii="Arial" w:hAnsi="Arial" w:cs="Arial"/>
          <w:b/>
          <w:sz w:val="24"/>
          <w:szCs w:val="24"/>
        </w:rPr>
      </w:pPr>
      <w:bookmarkStart w:id="10" w:name="s25-2b(15)"/>
      <w:bookmarkEnd w:id="10"/>
      <w:r w:rsidRPr="00B94A62">
        <w:rPr>
          <w:rFonts w:ascii="Arial" w:hAnsi="Arial" w:cs="Arial"/>
          <w:b/>
          <w:sz w:val="24"/>
          <w:szCs w:val="24"/>
        </w:rPr>
        <w:t xml:space="preserve">15.  Potential Problems.  (IMCOM) IAW AR 5-10, identify potential problems, such as local opposition or socioeconomic concerns, which may be encountered if the action is implemented.  Describe the impact upon the installation if the proposed stationing action is approved.  </w:t>
      </w:r>
    </w:p>
    <w:p w:rsidR="00392326" w:rsidRPr="00B94A62" w:rsidRDefault="00392326" w:rsidP="00CB6837">
      <w:pPr>
        <w:tabs>
          <w:tab w:val="left" w:pos="360"/>
          <w:tab w:val="left" w:pos="720"/>
        </w:tabs>
        <w:rPr>
          <w:rFonts w:ascii="Arial" w:hAnsi="Arial" w:cs="Arial"/>
          <w:i/>
          <w:sz w:val="24"/>
          <w:szCs w:val="24"/>
        </w:rPr>
      </w:pPr>
      <w:r w:rsidRPr="00B94A62">
        <w:rPr>
          <w:rFonts w:ascii="Arial" w:hAnsi="Arial" w:cs="Arial"/>
          <w:i/>
          <w:sz w:val="24"/>
          <w:szCs w:val="24"/>
        </w:rPr>
        <w:t>Example:  If a U.S. Army Forces Command (FORSCOM) medical battalion is inactivating, what is the impact to the local MEDCOM activity that may rely on the battalion’s medical personnel to augment its staff.</w:t>
      </w:r>
    </w:p>
    <w:p w:rsidR="00172C06" w:rsidRPr="00B94A62" w:rsidRDefault="00392326" w:rsidP="00B94A62">
      <w:pPr>
        <w:tabs>
          <w:tab w:val="left" w:pos="360"/>
          <w:tab w:val="left" w:pos="720"/>
        </w:tabs>
        <w:rPr>
          <w:rFonts w:ascii="Arial" w:hAnsi="Arial" w:cs="Arial"/>
          <w:b/>
          <w:sz w:val="24"/>
          <w:szCs w:val="24"/>
        </w:rPr>
      </w:pPr>
      <w:bookmarkStart w:id="11" w:name="s25-2b(16)"/>
      <w:bookmarkEnd w:id="11"/>
      <w:r w:rsidRPr="00B94A62">
        <w:rPr>
          <w:rFonts w:ascii="Arial" w:hAnsi="Arial" w:cs="Arial"/>
          <w:b/>
          <w:sz w:val="24"/>
          <w:szCs w:val="24"/>
        </w:rPr>
        <w:t>16.  Community Impact Analysis.   (IMCOM) IAW AR 5-10, a community impact analysis (CIA) will be included in all decision stationing packages forwarded to HQDA for approval if the unit’s total authorized strength is 200 or more.</w:t>
      </w:r>
    </w:p>
    <w:p w:rsidR="00392326" w:rsidRPr="00B94A62" w:rsidRDefault="00392326" w:rsidP="00290ECA">
      <w:pPr>
        <w:tabs>
          <w:tab w:val="left" w:pos="360"/>
          <w:tab w:val="left" w:pos="720"/>
        </w:tabs>
        <w:rPr>
          <w:rFonts w:ascii="Arial" w:hAnsi="Arial" w:cs="Arial"/>
          <w:i/>
          <w:sz w:val="24"/>
          <w:szCs w:val="24"/>
        </w:rPr>
      </w:pPr>
      <w:r w:rsidRPr="00B94A62">
        <w:rPr>
          <w:rFonts w:ascii="Arial" w:hAnsi="Arial" w:cs="Arial"/>
          <w:i/>
          <w:sz w:val="24"/>
          <w:szCs w:val="24"/>
        </w:rPr>
        <w:t>NOTE:  ACOM funds for CIA</w:t>
      </w:r>
    </w:p>
    <w:p w:rsidR="00F6795F" w:rsidRPr="00B94A62" w:rsidRDefault="00FA1B1A" w:rsidP="00F6795F">
      <w:pPr>
        <w:tabs>
          <w:tab w:val="left" w:pos="360"/>
          <w:tab w:val="left" w:pos="720"/>
        </w:tabs>
        <w:rPr>
          <w:rFonts w:ascii="Arial" w:hAnsi="Arial" w:cs="Arial"/>
          <w:b/>
          <w:sz w:val="24"/>
          <w:szCs w:val="24"/>
        </w:rPr>
      </w:pPr>
      <w:r w:rsidRPr="00B94A62">
        <w:rPr>
          <w:rFonts w:ascii="Arial" w:hAnsi="Arial" w:cs="Arial"/>
          <w:b/>
          <w:sz w:val="24"/>
          <w:szCs w:val="24"/>
        </w:rPr>
        <w:t>POC for questions pertaining to community impacts is the DPW Environmental Office</w:t>
      </w:r>
      <w:r w:rsidR="00B94A62" w:rsidRPr="00B94A62">
        <w:rPr>
          <w:rFonts w:ascii="Arial" w:hAnsi="Arial" w:cs="Arial"/>
          <w:b/>
          <w:sz w:val="24"/>
          <w:szCs w:val="24"/>
        </w:rPr>
        <w:t>, John</w:t>
      </w:r>
      <w:r w:rsidR="00F6795F" w:rsidRPr="00B94A62">
        <w:rPr>
          <w:rFonts w:ascii="Arial" w:hAnsi="Arial" w:cs="Arial"/>
          <w:b/>
          <w:sz w:val="24"/>
          <w:szCs w:val="24"/>
        </w:rPr>
        <w:t xml:space="preserve"> Houchins at 301-677-9188, john.w.houchins2.civ@mail.mil, or Suzanne </w:t>
      </w:r>
      <w:r w:rsidR="006133D8" w:rsidRPr="00B94A62">
        <w:rPr>
          <w:rFonts w:ascii="Arial" w:hAnsi="Arial" w:cs="Arial"/>
          <w:b/>
          <w:sz w:val="24"/>
          <w:szCs w:val="24"/>
        </w:rPr>
        <w:t>Kopich</w:t>
      </w:r>
      <w:r w:rsidR="00F6795F" w:rsidRPr="00B94A62">
        <w:rPr>
          <w:rFonts w:ascii="Arial" w:hAnsi="Arial" w:cs="Arial"/>
          <w:b/>
          <w:sz w:val="24"/>
          <w:szCs w:val="24"/>
        </w:rPr>
        <w:t xml:space="preserve"> at 301-677-9185, suzanne.m.kopich.civ@mail.mil.   </w:t>
      </w:r>
    </w:p>
    <w:p w:rsidR="00392326" w:rsidRPr="00B94A62" w:rsidRDefault="00F6795F" w:rsidP="001A4747">
      <w:pPr>
        <w:tabs>
          <w:tab w:val="left" w:pos="360"/>
          <w:tab w:val="left" w:pos="720"/>
        </w:tabs>
        <w:rPr>
          <w:rFonts w:ascii="Arial" w:hAnsi="Arial" w:cs="Arial"/>
          <w:b/>
          <w:sz w:val="24"/>
          <w:szCs w:val="24"/>
        </w:rPr>
      </w:pPr>
      <w:r w:rsidRPr="00B94A62">
        <w:rPr>
          <w:rFonts w:ascii="Arial" w:hAnsi="Arial" w:cs="Arial"/>
          <w:b/>
          <w:sz w:val="24"/>
          <w:szCs w:val="24"/>
        </w:rPr>
        <w:t>17.</w:t>
      </w:r>
      <w:r w:rsidR="00392326" w:rsidRPr="00B94A62">
        <w:rPr>
          <w:rFonts w:ascii="Arial" w:hAnsi="Arial" w:cs="Arial"/>
          <w:b/>
          <w:sz w:val="24"/>
          <w:szCs w:val="24"/>
        </w:rPr>
        <w:t xml:space="preserve">  Milestones.  (ACOM)  IAW AR 5-10, show projected milestones for the initiation and</w:t>
      </w:r>
      <w:r w:rsidR="001A4747" w:rsidRPr="00B94A62">
        <w:rPr>
          <w:rFonts w:ascii="Arial" w:hAnsi="Arial" w:cs="Arial"/>
          <w:b/>
          <w:sz w:val="24"/>
          <w:szCs w:val="24"/>
        </w:rPr>
        <w:t xml:space="preserve"> completion of the stationing action.</w:t>
      </w:r>
    </w:p>
    <w:p w:rsidR="00D61252" w:rsidRPr="00B94A62" w:rsidRDefault="00172C06" w:rsidP="00714BDC">
      <w:pPr>
        <w:rPr>
          <w:rFonts w:ascii="Arial" w:hAnsi="Arial" w:cs="Arial"/>
          <w:b/>
          <w:sz w:val="24"/>
          <w:szCs w:val="24"/>
        </w:rPr>
      </w:pPr>
      <w:r w:rsidRPr="00B94A62">
        <w:rPr>
          <w:rFonts w:ascii="Arial" w:hAnsi="Arial" w:cs="Arial"/>
          <w:b/>
          <w:sz w:val="24"/>
          <w:szCs w:val="24"/>
        </w:rPr>
        <w:t>18</w:t>
      </w:r>
      <w:r w:rsidR="00D61252" w:rsidRPr="00B94A62">
        <w:rPr>
          <w:rFonts w:ascii="Arial" w:hAnsi="Arial" w:cs="Arial"/>
          <w:b/>
          <w:sz w:val="24"/>
          <w:szCs w:val="24"/>
        </w:rPr>
        <w:t>.  NSA Situational Awareness.  Provide details pertaining to any coordination to use their space.</w:t>
      </w:r>
    </w:p>
    <w:p w:rsidR="00D61252" w:rsidRPr="00B94A62" w:rsidRDefault="00172C06" w:rsidP="00714BDC">
      <w:pPr>
        <w:rPr>
          <w:rFonts w:ascii="Arial" w:hAnsi="Arial" w:cs="Arial"/>
          <w:b/>
          <w:sz w:val="24"/>
          <w:szCs w:val="24"/>
        </w:rPr>
      </w:pPr>
      <w:r w:rsidRPr="00B94A62">
        <w:rPr>
          <w:rFonts w:ascii="Arial" w:hAnsi="Arial" w:cs="Arial"/>
          <w:b/>
          <w:sz w:val="24"/>
          <w:szCs w:val="24"/>
        </w:rPr>
        <w:t>19</w:t>
      </w:r>
      <w:r w:rsidR="00D61252" w:rsidRPr="00B94A62">
        <w:rPr>
          <w:rFonts w:ascii="Arial" w:hAnsi="Arial" w:cs="Arial"/>
          <w:b/>
          <w:sz w:val="24"/>
          <w:szCs w:val="24"/>
        </w:rPr>
        <w:t>.  POC</w:t>
      </w:r>
      <w:r w:rsidR="00AF040A" w:rsidRPr="00B94A62">
        <w:rPr>
          <w:rFonts w:ascii="Arial" w:hAnsi="Arial" w:cs="Arial"/>
          <w:b/>
          <w:sz w:val="24"/>
          <w:szCs w:val="24"/>
        </w:rPr>
        <w:t>’s</w:t>
      </w:r>
      <w:r w:rsidR="00D61252" w:rsidRPr="00B94A62">
        <w:rPr>
          <w:rFonts w:ascii="Arial" w:hAnsi="Arial" w:cs="Arial"/>
          <w:b/>
          <w:sz w:val="24"/>
          <w:szCs w:val="24"/>
        </w:rPr>
        <w:t xml:space="preserve"> for Requesting Organization:</w:t>
      </w:r>
    </w:p>
    <w:p w:rsidR="00AF040A" w:rsidRPr="00B94A62" w:rsidRDefault="00AF040A" w:rsidP="00714BDC">
      <w:pPr>
        <w:rPr>
          <w:rFonts w:ascii="Arial" w:hAnsi="Arial" w:cs="Arial"/>
          <w:b/>
          <w:sz w:val="24"/>
          <w:szCs w:val="24"/>
        </w:rPr>
      </w:pPr>
      <w:r w:rsidRPr="00B94A62">
        <w:rPr>
          <w:rFonts w:ascii="Arial" w:hAnsi="Arial" w:cs="Arial"/>
          <w:b/>
          <w:sz w:val="24"/>
          <w:szCs w:val="24"/>
        </w:rPr>
        <w:t xml:space="preserve">       a. Primary:</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Name:</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Office: </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Phone Number:  </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Email Address:  </w:t>
      </w:r>
    </w:p>
    <w:p w:rsidR="00D61252" w:rsidRPr="00B94A62" w:rsidRDefault="00D61252" w:rsidP="00D61252">
      <w:pPr>
        <w:spacing w:after="0" w:line="240" w:lineRule="auto"/>
        <w:rPr>
          <w:rFonts w:ascii="Arial" w:hAnsi="Arial" w:cs="Arial"/>
          <w:b/>
          <w:sz w:val="24"/>
          <w:szCs w:val="24"/>
        </w:rPr>
      </w:pPr>
    </w:p>
    <w:p w:rsidR="00AF040A" w:rsidRPr="00B94A62" w:rsidRDefault="00AF040A" w:rsidP="00AF040A">
      <w:pPr>
        <w:rPr>
          <w:rFonts w:ascii="Arial" w:hAnsi="Arial" w:cs="Arial"/>
          <w:b/>
          <w:sz w:val="24"/>
          <w:szCs w:val="24"/>
        </w:rPr>
      </w:pPr>
      <w:r w:rsidRPr="00B94A62">
        <w:rPr>
          <w:rFonts w:ascii="Arial" w:hAnsi="Arial" w:cs="Arial"/>
          <w:b/>
          <w:sz w:val="24"/>
          <w:szCs w:val="24"/>
        </w:rPr>
        <w:t xml:space="preserve">       a. Alternate:</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Name:</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Office: </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Phone Number:  </w:t>
      </w:r>
    </w:p>
    <w:p w:rsidR="00C11697" w:rsidRPr="00B94A62" w:rsidRDefault="00C11697" w:rsidP="00C11697">
      <w:pPr>
        <w:autoSpaceDE w:val="0"/>
        <w:autoSpaceDN w:val="0"/>
        <w:adjustRightInd w:val="0"/>
        <w:spacing w:after="0" w:line="240" w:lineRule="auto"/>
        <w:rPr>
          <w:rFonts w:ascii="Arial" w:hAnsi="Arial" w:cs="Arial"/>
          <w:b/>
          <w:sz w:val="24"/>
          <w:szCs w:val="24"/>
        </w:rPr>
      </w:pPr>
      <w:r w:rsidRPr="00B94A62">
        <w:rPr>
          <w:rFonts w:ascii="Arial" w:hAnsi="Arial" w:cs="Arial"/>
          <w:b/>
          <w:sz w:val="24"/>
          <w:szCs w:val="24"/>
        </w:rPr>
        <w:t xml:space="preserve">Email Address:  </w:t>
      </w:r>
    </w:p>
    <w:p w:rsidR="00C11697" w:rsidRPr="00C11697" w:rsidRDefault="00C11697" w:rsidP="00C11697">
      <w:pPr>
        <w:spacing w:after="0" w:line="240" w:lineRule="auto"/>
        <w:rPr>
          <w:rFonts w:ascii="Times New Roman" w:hAnsi="Times New Roman"/>
          <w:b/>
          <w:sz w:val="24"/>
          <w:szCs w:val="24"/>
        </w:rPr>
      </w:pPr>
    </w:p>
    <w:p w:rsidR="00AF040A" w:rsidRDefault="00AF040A" w:rsidP="00AF040A">
      <w:pPr>
        <w:spacing w:after="0" w:line="240" w:lineRule="auto"/>
        <w:rPr>
          <w:rFonts w:ascii="Times New Roman" w:hAnsi="Times New Roman"/>
          <w:b/>
          <w:sz w:val="24"/>
          <w:szCs w:val="24"/>
        </w:rPr>
      </w:pPr>
    </w:p>
    <w:p w:rsidR="00D61252" w:rsidRDefault="00D61252" w:rsidP="00714BDC">
      <w:pPr>
        <w:rPr>
          <w:rFonts w:ascii="Times New Roman" w:hAnsi="Times New Roman"/>
          <w:b/>
          <w:color w:val="0000FF"/>
          <w:sz w:val="24"/>
          <w:szCs w:val="24"/>
        </w:rPr>
      </w:pPr>
    </w:p>
    <w:p w:rsidR="00D61252" w:rsidRPr="00C373E7" w:rsidRDefault="00D61252" w:rsidP="00714BDC">
      <w:pPr>
        <w:rPr>
          <w:rFonts w:ascii="Times New Roman" w:hAnsi="Times New Roman"/>
          <w:b/>
          <w:color w:val="0000FF"/>
          <w:sz w:val="24"/>
          <w:szCs w:val="24"/>
        </w:rPr>
      </w:pPr>
    </w:p>
    <w:p w:rsidR="00392326" w:rsidRPr="00C373E7" w:rsidRDefault="00392326" w:rsidP="00AB7A31">
      <w:pPr>
        <w:rPr>
          <w:rFonts w:ascii="Times New Roman" w:hAnsi="Times New Roman"/>
          <w:b/>
          <w:color w:val="0000FF"/>
          <w:sz w:val="24"/>
          <w:szCs w:val="24"/>
        </w:rPr>
      </w:pPr>
    </w:p>
    <w:p w:rsidR="00392326" w:rsidRDefault="00392326">
      <w:pPr>
        <w:spacing w:after="0" w:line="240" w:lineRule="auto"/>
        <w:rPr>
          <w:rFonts w:ascii="Times New Roman" w:hAnsi="Times New Roman"/>
          <w:sz w:val="24"/>
          <w:szCs w:val="24"/>
        </w:rPr>
      </w:pPr>
      <w:r>
        <w:rPr>
          <w:rFonts w:ascii="Times New Roman" w:hAnsi="Times New Roman"/>
          <w:sz w:val="24"/>
          <w:szCs w:val="24"/>
        </w:rPr>
        <w:br w:type="page"/>
      </w:r>
    </w:p>
    <w:p w:rsidR="00392326" w:rsidRDefault="00392326" w:rsidP="00584894">
      <w:pPr>
        <w:tabs>
          <w:tab w:val="left" w:pos="360"/>
        </w:tabs>
        <w:rPr>
          <w:rFonts w:ascii="Times New Roman" w:hAnsi="Times New Roman"/>
          <w:sz w:val="24"/>
          <w:szCs w:val="24"/>
        </w:rPr>
      </w:pPr>
    </w:p>
    <w:p w:rsidR="00392326" w:rsidRDefault="00392326" w:rsidP="00DF1325">
      <w:pPr>
        <w:jc w:val="center"/>
        <w:rPr>
          <w:rFonts w:ascii="Times New Roman" w:hAnsi="Times New Roman"/>
          <w:b/>
          <w:i/>
          <w:sz w:val="24"/>
          <w:szCs w:val="24"/>
        </w:rPr>
      </w:pPr>
      <w:r w:rsidRPr="00764547">
        <w:rPr>
          <w:rFonts w:ascii="Times New Roman" w:hAnsi="Times New Roman"/>
          <w:b/>
          <w:sz w:val="24"/>
          <w:szCs w:val="24"/>
        </w:rPr>
        <w:t xml:space="preserve">Enclosure #1:  </w:t>
      </w:r>
      <w:r w:rsidRPr="00764547">
        <w:rPr>
          <w:rFonts w:ascii="Times New Roman" w:hAnsi="Times New Roman"/>
          <w:b/>
          <w:i/>
          <w:sz w:val="24"/>
          <w:szCs w:val="24"/>
        </w:rPr>
        <w:t>Anticipated Cost and Savings</w:t>
      </w:r>
    </w:p>
    <w:tbl>
      <w:tblPr>
        <w:tblW w:w="9420" w:type="dxa"/>
        <w:tblInd w:w="93" w:type="dxa"/>
        <w:tblLook w:val="00A0" w:firstRow="1" w:lastRow="0" w:firstColumn="1" w:lastColumn="0" w:noHBand="0" w:noVBand="0"/>
      </w:tblPr>
      <w:tblGrid>
        <w:gridCol w:w="4440"/>
        <w:gridCol w:w="2120"/>
        <w:gridCol w:w="2860"/>
      </w:tblGrid>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One Time Costs</w:t>
            </w:r>
          </w:p>
        </w:tc>
        <w:tc>
          <w:tcPr>
            <w:tcW w:w="2120" w:type="dxa"/>
            <w:tcBorders>
              <w:top w:val="single" w:sz="4" w:space="0" w:color="auto"/>
              <w:left w:val="nil"/>
              <w:bottom w:val="single" w:sz="4" w:space="0" w:color="auto"/>
              <w:right w:val="single" w:sz="4"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w:t>
            </w:r>
          </w:p>
        </w:tc>
        <w:tc>
          <w:tcPr>
            <w:tcW w:w="2860" w:type="dxa"/>
            <w:tcBorders>
              <w:top w:val="single" w:sz="4" w:space="0" w:color="auto"/>
              <w:left w:val="nil"/>
              <w:bottom w:val="single" w:sz="4" w:space="0" w:color="auto"/>
              <w:right w:val="single" w:sz="8"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Source of funds</w:t>
            </w:r>
          </w:p>
        </w:tc>
      </w:tr>
      <w:tr w:rsidR="00392326" w:rsidRPr="00F72F5B" w:rsidTr="00F72F5B">
        <w:trPr>
          <w:trHeight w:val="300"/>
        </w:trPr>
        <w:tc>
          <w:tcPr>
            <w:tcW w:w="4440" w:type="dxa"/>
            <w:tcBorders>
              <w:top w:val="nil"/>
              <w:left w:val="single" w:sz="8" w:space="0" w:color="auto"/>
              <w:bottom w:val="nil"/>
              <w:right w:val="nil"/>
            </w:tcBorders>
            <w:shd w:val="clear" w:color="000000" w:fill="DDD9C3"/>
            <w:noWrap/>
            <w:vAlign w:val="bottom"/>
          </w:tcPr>
          <w:p w:rsidR="00392326" w:rsidRPr="00F72F5B" w:rsidRDefault="00392326" w:rsidP="00F72F5B">
            <w:pPr>
              <w:spacing w:after="0" w:line="240" w:lineRule="auto"/>
              <w:jc w:val="center"/>
              <w:rPr>
                <w:b/>
                <w:bCs/>
                <w:color w:val="000000"/>
                <w:sz w:val="20"/>
                <w:szCs w:val="20"/>
              </w:rPr>
            </w:pPr>
            <w:r w:rsidRPr="00F72F5B">
              <w:rPr>
                <w:b/>
                <w:bCs/>
                <w:color w:val="000000"/>
                <w:sz w:val="20"/>
                <w:szCs w:val="20"/>
              </w:rPr>
              <w:t>Military Personnel Appn Cost</w:t>
            </w:r>
          </w:p>
        </w:tc>
        <w:tc>
          <w:tcPr>
            <w:tcW w:w="2120" w:type="dxa"/>
            <w:tcBorders>
              <w:top w:val="nil"/>
              <w:left w:val="nil"/>
              <w:bottom w:val="nil"/>
              <w:right w:val="nil"/>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c>
          <w:tcPr>
            <w:tcW w:w="2860" w:type="dxa"/>
            <w:tcBorders>
              <w:top w:val="nil"/>
              <w:left w:val="nil"/>
              <w:bottom w:val="nil"/>
              <w:right w:val="single" w:sz="8" w:space="0" w:color="auto"/>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single" w:sz="4" w:space="0" w:color="auto"/>
              <w:left w:val="single" w:sz="8" w:space="0" w:color="auto"/>
              <w:bottom w:val="single" w:sz="4" w:space="0" w:color="auto"/>
              <w:right w:val="nil"/>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Military PCS</w:t>
            </w:r>
          </w:p>
        </w:tc>
        <w:tc>
          <w:tcPr>
            <w:tcW w:w="2120" w:type="dxa"/>
            <w:tcBorders>
              <w:top w:val="single" w:sz="4" w:space="0" w:color="auto"/>
              <w:left w:val="single" w:sz="4"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Pr>
                <w:color w:val="000000"/>
                <w:sz w:val="20"/>
                <w:szCs w:val="20"/>
              </w:rPr>
              <w:t>$</w:t>
            </w:r>
          </w:p>
        </w:tc>
        <w:tc>
          <w:tcPr>
            <w:tcW w:w="2860" w:type="dxa"/>
            <w:tcBorders>
              <w:top w:val="single" w:sz="4" w:space="0" w:color="auto"/>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nil"/>
              <w:right w:val="nil"/>
            </w:tcBorders>
            <w:shd w:val="clear" w:color="000000" w:fill="DDD9C3"/>
            <w:noWrap/>
            <w:vAlign w:val="bottom"/>
          </w:tcPr>
          <w:p w:rsidR="00392326" w:rsidRPr="00F72F5B" w:rsidRDefault="00392326" w:rsidP="00F72F5B">
            <w:pPr>
              <w:spacing w:after="0" w:line="240" w:lineRule="auto"/>
              <w:jc w:val="center"/>
              <w:rPr>
                <w:b/>
                <w:bCs/>
                <w:color w:val="000000"/>
                <w:sz w:val="20"/>
                <w:szCs w:val="20"/>
              </w:rPr>
            </w:pPr>
            <w:r w:rsidRPr="00F72F5B">
              <w:rPr>
                <w:b/>
                <w:bCs/>
                <w:color w:val="000000"/>
                <w:sz w:val="20"/>
                <w:szCs w:val="20"/>
              </w:rPr>
              <w:t>Operations and Maintenance Appn Costs</w:t>
            </w:r>
          </w:p>
        </w:tc>
        <w:tc>
          <w:tcPr>
            <w:tcW w:w="2120" w:type="dxa"/>
            <w:tcBorders>
              <w:top w:val="nil"/>
              <w:left w:val="nil"/>
              <w:bottom w:val="nil"/>
              <w:right w:val="nil"/>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c>
          <w:tcPr>
            <w:tcW w:w="2860" w:type="dxa"/>
            <w:tcBorders>
              <w:top w:val="nil"/>
              <w:left w:val="nil"/>
              <w:bottom w:val="nil"/>
              <w:right w:val="single" w:sz="8" w:space="0" w:color="auto"/>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Personnel Cost</w:t>
            </w:r>
          </w:p>
        </w:tc>
        <w:tc>
          <w:tcPr>
            <w:tcW w:w="2120" w:type="dxa"/>
            <w:tcBorders>
              <w:top w:val="single" w:sz="4" w:space="0" w:color="auto"/>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single" w:sz="4" w:space="0" w:color="auto"/>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PCS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Termination Costs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Equipment Transportation</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Facility Modification</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Equipment Purchases (&lt;$100, 000 Threshold&gt;)</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Procu</w:t>
            </w:r>
            <w:r>
              <w:rPr>
                <w:color w:val="000000"/>
                <w:sz w:val="20"/>
                <w:szCs w:val="20"/>
              </w:rPr>
              <w:t>r</w:t>
            </w:r>
            <w:r w:rsidRPr="00F72F5B">
              <w:rPr>
                <w:color w:val="000000"/>
                <w:sz w:val="20"/>
                <w:szCs w:val="20"/>
              </w:rPr>
              <w:t>ement Appns Cost</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Military Con</w:t>
            </w:r>
            <w:r>
              <w:rPr>
                <w:color w:val="000000"/>
                <w:sz w:val="20"/>
                <w:szCs w:val="20"/>
              </w:rPr>
              <w:t>s</w:t>
            </w:r>
            <w:r w:rsidRPr="00F72F5B">
              <w:rPr>
                <w:color w:val="000000"/>
                <w:sz w:val="20"/>
                <w:szCs w:val="20"/>
              </w:rPr>
              <w:t>truction Appn Costs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Facility Modification</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New Facilities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15"/>
        </w:trPr>
        <w:tc>
          <w:tcPr>
            <w:tcW w:w="4440" w:type="dxa"/>
            <w:tcBorders>
              <w:top w:val="nil"/>
              <w:left w:val="single" w:sz="8" w:space="0" w:color="auto"/>
              <w:bottom w:val="nil"/>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New Family Housing</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nil"/>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15"/>
        </w:trPr>
        <w:tc>
          <w:tcPr>
            <w:tcW w:w="4440" w:type="dxa"/>
            <w:tcBorders>
              <w:top w:val="single" w:sz="8" w:space="0" w:color="auto"/>
              <w:left w:val="single" w:sz="8" w:space="0" w:color="auto"/>
              <w:bottom w:val="single" w:sz="8" w:space="0" w:color="auto"/>
              <w:right w:val="single" w:sz="4" w:space="0" w:color="auto"/>
            </w:tcBorders>
            <w:shd w:val="clear" w:color="000000" w:fill="DDD9C3"/>
            <w:noWrap/>
            <w:vAlign w:val="bottom"/>
          </w:tcPr>
          <w:p w:rsidR="00392326" w:rsidRPr="00F72F5B" w:rsidRDefault="00392326" w:rsidP="00F72F5B">
            <w:pPr>
              <w:spacing w:after="0" w:line="240" w:lineRule="auto"/>
              <w:jc w:val="right"/>
              <w:rPr>
                <w:b/>
                <w:bCs/>
                <w:color w:val="000000"/>
                <w:sz w:val="20"/>
                <w:szCs w:val="20"/>
              </w:rPr>
            </w:pPr>
            <w:r w:rsidRPr="00F72F5B">
              <w:rPr>
                <w:b/>
                <w:bCs/>
                <w:color w:val="000000"/>
                <w:sz w:val="20"/>
                <w:szCs w:val="20"/>
              </w:rPr>
              <w:t>Total One-Time Costs</w:t>
            </w:r>
          </w:p>
        </w:tc>
        <w:tc>
          <w:tcPr>
            <w:tcW w:w="2120" w:type="dxa"/>
            <w:tcBorders>
              <w:top w:val="single" w:sz="8" w:space="0" w:color="auto"/>
              <w:left w:val="nil"/>
              <w:bottom w:val="single" w:sz="8" w:space="0" w:color="auto"/>
              <w:right w:val="single" w:sz="4" w:space="0" w:color="auto"/>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single" w:sz="8" w:space="0" w:color="auto"/>
              <w:left w:val="nil"/>
              <w:bottom w:val="single" w:sz="8" w:space="0" w:color="auto"/>
              <w:right w:val="single" w:sz="8" w:space="0" w:color="auto"/>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15"/>
        </w:trPr>
        <w:tc>
          <w:tcPr>
            <w:tcW w:w="9420" w:type="dxa"/>
            <w:gridSpan w:val="3"/>
            <w:tcBorders>
              <w:top w:val="single" w:sz="8" w:space="0" w:color="auto"/>
              <w:left w:val="single" w:sz="8" w:space="0" w:color="auto"/>
              <w:bottom w:val="nil"/>
              <w:right w:val="single" w:sz="8" w:space="0" w:color="000000"/>
            </w:tcBorders>
            <w:noWrap/>
            <w:vAlign w:val="bottom"/>
          </w:tcPr>
          <w:p w:rsidR="00392326" w:rsidRPr="00F72F5B" w:rsidRDefault="00392326" w:rsidP="00F72F5B">
            <w:pPr>
              <w:spacing w:after="0" w:line="240" w:lineRule="auto"/>
              <w:jc w:val="center"/>
              <w:rPr>
                <w:b/>
                <w:bCs/>
                <w:color w:val="000000"/>
                <w:sz w:val="24"/>
                <w:szCs w:val="24"/>
              </w:rPr>
            </w:pPr>
            <w:r w:rsidRPr="00F72F5B">
              <w:rPr>
                <w:b/>
                <w:bCs/>
                <w:color w:val="000000"/>
                <w:sz w:val="24"/>
                <w:szCs w:val="24"/>
              </w:rPr>
              <w:t>Annual Recurring Costs/Savings</w:t>
            </w:r>
          </w:p>
        </w:tc>
      </w:tr>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Annual Recurring Costs/Savings</w:t>
            </w:r>
          </w:p>
        </w:tc>
        <w:tc>
          <w:tcPr>
            <w:tcW w:w="2120" w:type="dxa"/>
            <w:tcBorders>
              <w:top w:val="single" w:sz="4" w:space="0" w:color="auto"/>
              <w:left w:val="nil"/>
              <w:bottom w:val="single" w:sz="4" w:space="0" w:color="auto"/>
              <w:right w:val="single" w:sz="4"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w:t>
            </w:r>
          </w:p>
        </w:tc>
        <w:tc>
          <w:tcPr>
            <w:tcW w:w="2860" w:type="dxa"/>
            <w:tcBorders>
              <w:top w:val="single" w:sz="4" w:space="0" w:color="auto"/>
              <w:left w:val="nil"/>
              <w:bottom w:val="single" w:sz="4" w:space="0" w:color="auto"/>
              <w:right w:val="single" w:sz="8" w:space="0" w:color="auto"/>
            </w:tcBorders>
            <w:shd w:val="clear" w:color="000000" w:fill="000000"/>
            <w:noWrap/>
            <w:vAlign w:val="bottom"/>
          </w:tcPr>
          <w:p w:rsidR="00392326" w:rsidRPr="00F72F5B" w:rsidRDefault="00392326" w:rsidP="00F72F5B">
            <w:pPr>
              <w:spacing w:after="0" w:line="240" w:lineRule="auto"/>
              <w:jc w:val="center"/>
              <w:rPr>
                <w:b/>
                <w:bCs/>
                <w:color w:val="FFFFFF"/>
                <w:sz w:val="20"/>
                <w:szCs w:val="20"/>
              </w:rPr>
            </w:pPr>
            <w:r w:rsidRPr="00F72F5B">
              <w:rPr>
                <w:b/>
                <w:bCs/>
                <w:color w:val="FFFFFF"/>
                <w:sz w:val="20"/>
                <w:szCs w:val="20"/>
              </w:rPr>
              <w:t>Source of funds</w:t>
            </w:r>
          </w:p>
        </w:tc>
      </w:tr>
      <w:tr w:rsidR="00392326" w:rsidRPr="00F72F5B" w:rsidTr="00F72F5B">
        <w:trPr>
          <w:trHeight w:val="300"/>
        </w:trPr>
        <w:tc>
          <w:tcPr>
            <w:tcW w:w="4440" w:type="dxa"/>
            <w:tcBorders>
              <w:top w:val="nil"/>
              <w:left w:val="single" w:sz="8" w:space="0" w:color="auto"/>
              <w:bottom w:val="nil"/>
              <w:right w:val="nil"/>
            </w:tcBorders>
            <w:shd w:val="clear" w:color="000000" w:fill="DDD9C3"/>
            <w:noWrap/>
            <w:vAlign w:val="bottom"/>
          </w:tcPr>
          <w:p w:rsidR="00392326" w:rsidRPr="00F72F5B" w:rsidRDefault="00392326" w:rsidP="00F72F5B">
            <w:pPr>
              <w:spacing w:after="0" w:line="240" w:lineRule="auto"/>
              <w:jc w:val="center"/>
              <w:rPr>
                <w:b/>
                <w:bCs/>
                <w:color w:val="000000"/>
                <w:sz w:val="20"/>
                <w:szCs w:val="20"/>
              </w:rPr>
            </w:pPr>
            <w:r w:rsidRPr="00F72F5B">
              <w:rPr>
                <w:b/>
                <w:bCs/>
                <w:color w:val="000000"/>
                <w:sz w:val="20"/>
                <w:szCs w:val="20"/>
              </w:rPr>
              <w:t>Current Location</w:t>
            </w:r>
          </w:p>
        </w:tc>
        <w:tc>
          <w:tcPr>
            <w:tcW w:w="2120" w:type="dxa"/>
            <w:tcBorders>
              <w:top w:val="nil"/>
              <w:left w:val="nil"/>
              <w:bottom w:val="nil"/>
              <w:right w:val="nil"/>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c>
          <w:tcPr>
            <w:tcW w:w="2860" w:type="dxa"/>
            <w:tcBorders>
              <w:top w:val="nil"/>
              <w:left w:val="nil"/>
              <w:bottom w:val="nil"/>
              <w:right w:val="single" w:sz="8" w:space="0" w:color="auto"/>
            </w:tcBorders>
            <w:shd w:val="clear" w:color="000000" w:fill="DDD9C3"/>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Mission (-)</w:t>
            </w:r>
          </w:p>
        </w:tc>
        <w:tc>
          <w:tcPr>
            <w:tcW w:w="2120" w:type="dxa"/>
            <w:tcBorders>
              <w:top w:val="single" w:sz="4" w:space="0" w:color="auto"/>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single" w:sz="4" w:space="0" w:color="auto"/>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Base Support (less 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BASOPS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Family Programs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Environment</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Audio / Visual</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Base Communications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Real Property Maintenance</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nil"/>
              <w:right w:val="nil"/>
            </w:tcBorders>
            <w:shd w:val="clear" w:color="000000" w:fill="DDD9C3"/>
            <w:noWrap/>
            <w:vAlign w:val="bottom"/>
          </w:tcPr>
          <w:p w:rsidR="00392326" w:rsidRPr="00F72F5B" w:rsidRDefault="00392326" w:rsidP="00F72F5B">
            <w:pPr>
              <w:spacing w:after="0" w:line="240" w:lineRule="auto"/>
              <w:jc w:val="center"/>
              <w:rPr>
                <w:b/>
                <w:bCs/>
                <w:color w:val="000000"/>
                <w:sz w:val="20"/>
                <w:szCs w:val="20"/>
              </w:rPr>
            </w:pPr>
            <w:r w:rsidRPr="00F72F5B">
              <w:rPr>
                <w:b/>
                <w:bCs/>
                <w:color w:val="000000"/>
                <w:sz w:val="20"/>
                <w:szCs w:val="20"/>
              </w:rPr>
              <w:t>New Location</w:t>
            </w:r>
          </w:p>
        </w:tc>
        <w:tc>
          <w:tcPr>
            <w:tcW w:w="2120" w:type="dxa"/>
            <w:tcBorders>
              <w:top w:val="nil"/>
              <w:left w:val="nil"/>
              <w:bottom w:val="nil"/>
              <w:right w:val="nil"/>
            </w:tcBorders>
            <w:shd w:val="clear" w:color="000000" w:fill="DDD9C3"/>
            <w:noWrap/>
            <w:vAlign w:val="bottom"/>
          </w:tcPr>
          <w:p w:rsidR="00392326" w:rsidRPr="00F72F5B" w:rsidRDefault="00392326" w:rsidP="00F72F5B">
            <w:pPr>
              <w:spacing w:after="0" w:line="240" w:lineRule="auto"/>
              <w:jc w:val="center"/>
              <w:rPr>
                <w:color w:val="000000"/>
                <w:sz w:val="20"/>
                <w:szCs w:val="20"/>
              </w:rPr>
            </w:pPr>
            <w:r w:rsidRPr="00F72F5B">
              <w:rPr>
                <w:color w:val="000000"/>
                <w:sz w:val="20"/>
                <w:szCs w:val="20"/>
              </w:rPr>
              <w:t> </w:t>
            </w:r>
          </w:p>
        </w:tc>
        <w:tc>
          <w:tcPr>
            <w:tcW w:w="2860" w:type="dxa"/>
            <w:tcBorders>
              <w:top w:val="nil"/>
              <w:left w:val="nil"/>
              <w:bottom w:val="nil"/>
              <w:right w:val="single" w:sz="8" w:space="0" w:color="auto"/>
            </w:tcBorders>
            <w:shd w:val="clear" w:color="000000" w:fill="DDD9C3"/>
            <w:noWrap/>
            <w:vAlign w:val="bottom"/>
          </w:tcPr>
          <w:p w:rsidR="00392326" w:rsidRPr="00F72F5B" w:rsidRDefault="00392326" w:rsidP="00F72F5B">
            <w:pPr>
              <w:spacing w:after="0" w:line="240" w:lineRule="auto"/>
              <w:jc w:val="center"/>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Mission (-)</w:t>
            </w:r>
          </w:p>
        </w:tc>
        <w:tc>
          <w:tcPr>
            <w:tcW w:w="2120" w:type="dxa"/>
            <w:tcBorders>
              <w:top w:val="single" w:sz="4" w:space="0" w:color="auto"/>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r>
              <w:rPr>
                <w:color w:val="000000"/>
                <w:sz w:val="20"/>
                <w:szCs w:val="20"/>
              </w:rPr>
              <w:t xml:space="preserve">                               </w:t>
            </w:r>
            <w:r w:rsidRPr="00F72F5B">
              <w:rPr>
                <w:color w:val="000000"/>
                <w:sz w:val="20"/>
                <w:szCs w:val="20"/>
              </w:rPr>
              <w:t xml:space="preserve">   </w:t>
            </w:r>
          </w:p>
        </w:tc>
        <w:tc>
          <w:tcPr>
            <w:tcW w:w="2860" w:type="dxa"/>
            <w:tcBorders>
              <w:top w:val="single" w:sz="4" w:space="0" w:color="auto"/>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Base Support (less 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BASEOPS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Family Programs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Environment</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Audio / Visual</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Base Communications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Real Property Maintenance</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nil"/>
              <w:right w:val="nil"/>
            </w:tcBorders>
            <w:shd w:val="clear" w:color="000000" w:fill="DDD9C3"/>
            <w:noWrap/>
            <w:vAlign w:val="bottom"/>
          </w:tcPr>
          <w:p w:rsidR="00392326" w:rsidRPr="00F72F5B" w:rsidRDefault="00392326" w:rsidP="00F72F5B">
            <w:pPr>
              <w:spacing w:after="0" w:line="240" w:lineRule="auto"/>
              <w:jc w:val="center"/>
              <w:rPr>
                <w:b/>
                <w:bCs/>
                <w:color w:val="000000"/>
                <w:sz w:val="20"/>
                <w:szCs w:val="20"/>
              </w:rPr>
            </w:pPr>
            <w:r w:rsidRPr="00F72F5B">
              <w:rPr>
                <w:b/>
                <w:bCs/>
                <w:color w:val="000000"/>
                <w:sz w:val="20"/>
                <w:szCs w:val="20"/>
              </w:rPr>
              <w:t>Cost/Savings (Current - New)*</w:t>
            </w:r>
          </w:p>
        </w:tc>
        <w:tc>
          <w:tcPr>
            <w:tcW w:w="2120" w:type="dxa"/>
            <w:tcBorders>
              <w:top w:val="nil"/>
              <w:left w:val="nil"/>
              <w:bottom w:val="nil"/>
              <w:right w:val="nil"/>
            </w:tcBorders>
            <w:shd w:val="clear" w:color="000000" w:fill="DDD9C3"/>
            <w:noWrap/>
            <w:vAlign w:val="bottom"/>
          </w:tcPr>
          <w:p w:rsidR="00392326" w:rsidRPr="00F72F5B" w:rsidRDefault="00392326" w:rsidP="00F72F5B">
            <w:pPr>
              <w:spacing w:after="0" w:line="240" w:lineRule="auto"/>
              <w:jc w:val="center"/>
              <w:rPr>
                <w:color w:val="000000"/>
                <w:sz w:val="20"/>
                <w:szCs w:val="20"/>
              </w:rPr>
            </w:pPr>
            <w:r w:rsidRPr="00F72F5B">
              <w:rPr>
                <w:color w:val="000000"/>
                <w:sz w:val="20"/>
                <w:szCs w:val="20"/>
              </w:rPr>
              <w:t> </w:t>
            </w:r>
          </w:p>
        </w:tc>
        <w:tc>
          <w:tcPr>
            <w:tcW w:w="2860" w:type="dxa"/>
            <w:tcBorders>
              <w:top w:val="nil"/>
              <w:left w:val="nil"/>
              <w:bottom w:val="nil"/>
              <w:right w:val="single" w:sz="8" w:space="0" w:color="auto"/>
            </w:tcBorders>
            <w:shd w:val="clear" w:color="000000" w:fill="DDD9C3"/>
            <w:noWrap/>
            <w:vAlign w:val="bottom"/>
          </w:tcPr>
          <w:p w:rsidR="00392326" w:rsidRPr="00F72F5B" w:rsidRDefault="00392326" w:rsidP="00F72F5B">
            <w:pPr>
              <w:spacing w:after="0" w:line="240" w:lineRule="auto"/>
              <w:jc w:val="center"/>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single" w:sz="4" w:space="0" w:color="auto"/>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Mission (-)</w:t>
            </w:r>
          </w:p>
        </w:tc>
        <w:tc>
          <w:tcPr>
            <w:tcW w:w="2120" w:type="dxa"/>
            <w:tcBorders>
              <w:top w:val="single" w:sz="4" w:space="0" w:color="auto"/>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single" w:sz="4" w:space="0" w:color="auto"/>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Base Support (less civilian pay)</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BASEOPS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Family Programs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Environment</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Audio / Visual</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F72F5B">
        <w:trPr>
          <w:trHeight w:val="300"/>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Base Communications</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392326" w:rsidRPr="00F72F5B" w:rsidTr="00594B63">
        <w:trPr>
          <w:trHeight w:val="315"/>
        </w:trPr>
        <w:tc>
          <w:tcPr>
            <w:tcW w:w="4440" w:type="dxa"/>
            <w:tcBorders>
              <w:top w:val="nil"/>
              <w:left w:val="single" w:sz="8" w:space="0" w:color="auto"/>
              <w:bottom w:val="single" w:sz="4" w:space="0" w:color="auto"/>
              <w:right w:val="single" w:sz="4" w:space="0" w:color="auto"/>
            </w:tcBorders>
            <w:noWrap/>
            <w:vAlign w:val="bottom"/>
          </w:tcPr>
          <w:p w:rsidR="00392326" w:rsidRPr="00F72F5B" w:rsidRDefault="00392326" w:rsidP="00F72F5B">
            <w:pPr>
              <w:spacing w:after="0" w:line="240" w:lineRule="auto"/>
              <w:jc w:val="right"/>
              <w:rPr>
                <w:color w:val="000000"/>
                <w:sz w:val="20"/>
                <w:szCs w:val="20"/>
              </w:rPr>
            </w:pPr>
            <w:r w:rsidRPr="00F72F5B">
              <w:rPr>
                <w:color w:val="000000"/>
                <w:sz w:val="20"/>
                <w:szCs w:val="20"/>
              </w:rPr>
              <w:t>Real Property Maintenance</w:t>
            </w:r>
          </w:p>
        </w:tc>
        <w:tc>
          <w:tcPr>
            <w:tcW w:w="2120" w:type="dxa"/>
            <w:tcBorders>
              <w:top w:val="nil"/>
              <w:left w:val="nil"/>
              <w:bottom w:val="single" w:sz="4" w:space="0" w:color="auto"/>
              <w:right w:val="single" w:sz="4"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xml:space="preserve"> $                                     -   </w:t>
            </w:r>
          </w:p>
        </w:tc>
        <w:tc>
          <w:tcPr>
            <w:tcW w:w="2860" w:type="dxa"/>
            <w:tcBorders>
              <w:top w:val="nil"/>
              <w:left w:val="nil"/>
              <w:bottom w:val="single" w:sz="4" w:space="0" w:color="auto"/>
              <w:right w:val="single" w:sz="8" w:space="0" w:color="auto"/>
            </w:tcBorders>
            <w:noWrap/>
            <w:vAlign w:val="bottom"/>
          </w:tcPr>
          <w:p w:rsidR="00392326" w:rsidRPr="00F72F5B" w:rsidRDefault="00392326" w:rsidP="00F72F5B">
            <w:pPr>
              <w:spacing w:after="0" w:line="240" w:lineRule="auto"/>
              <w:rPr>
                <w:color w:val="000000"/>
                <w:sz w:val="20"/>
                <w:szCs w:val="20"/>
              </w:rPr>
            </w:pPr>
            <w:r w:rsidRPr="00F72F5B">
              <w:rPr>
                <w:color w:val="000000"/>
                <w:sz w:val="20"/>
                <w:szCs w:val="20"/>
              </w:rPr>
              <w:t> </w:t>
            </w:r>
          </w:p>
        </w:tc>
      </w:tr>
      <w:tr w:rsidR="00594B63" w:rsidTr="00594B63">
        <w:trPr>
          <w:trHeight w:val="315"/>
        </w:trPr>
        <w:tc>
          <w:tcPr>
            <w:tcW w:w="4440" w:type="dxa"/>
            <w:tcBorders>
              <w:top w:val="single" w:sz="4" w:space="0" w:color="auto"/>
              <w:left w:val="single" w:sz="8" w:space="0" w:color="auto"/>
              <w:bottom w:val="single" w:sz="8" w:space="0" w:color="auto"/>
              <w:right w:val="single" w:sz="4" w:space="0" w:color="auto"/>
            </w:tcBorders>
            <w:shd w:val="clear" w:color="auto" w:fill="DDD9C3"/>
            <w:noWrap/>
            <w:vAlign w:val="bottom"/>
            <w:hideMark/>
          </w:tcPr>
          <w:p w:rsidR="00594B63" w:rsidRDefault="00594B63">
            <w:pPr>
              <w:spacing w:after="0" w:line="240" w:lineRule="auto"/>
              <w:jc w:val="right"/>
              <w:rPr>
                <w:b/>
                <w:color w:val="000000"/>
                <w:sz w:val="20"/>
                <w:szCs w:val="20"/>
              </w:rPr>
            </w:pPr>
            <w:r>
              <w:rPr>
                <w:b/>
                <w:color w:val="000000"/>
                <w:sz w:val="20"/>
                <w:szCs w:val="20"/>
              </w:rPr>
              <w:t>TOTAL ANNUAL RECURRING COSTS/SAVINGS</w:t>
            </w:r>
          </w:p>
        </w:tc>
        <w:tc>
          <w:tcPr>
            <w:tcW w:w="2120" w:type="dxa"/>
            <w:tcBorders>
              <w:top w:val="single" w:sz="4" w:space="0" w:color="auto"/>
              <w:left w:val="nil"/>
              <w:bottom w:val="single" w:sz="8" w:space="0" w:color="auto"/>
              <w:right w:val="single" w:sz="4" w:space="0" w:color="auto"/>
            </w:tcBorders>
            <w:shd w:val="clear" w:color="auto" w:fill="DDD9C3"/>
            <w:noWrap/>
            <w:vAlign w:val="bottom"/>
            <w:hideMark/>
          </w:tcPr>
          <w:p w:rsidR="00594B63" w:rsidRDefault="00594B63">
            <w:pPr>
              <w:spacing w:after="0" w:line="240" w:lineRule="auto"/>
              <w:rPr>
                <w:color w:val="000000"/>
                <w:sz w:val="20"/>
                <w:szCs w:val="20"/>
              </w:rPr>
            </w:pPr>
            <w:r>
              <w:rPr>
                <w:color w:val="000000"/>
                <w:sz w:val="20"/>
                <w:szCs w:val="20"/>
              </w:rPr>
              <w:t xml:space="preserve"> $                                     -   </w:t>
            </w:r>
          </w:p>
        </w:tc>
        <w:tc>
          <w:tcPr>
            <w:tcW w:w="2860" w:type="dxa"/>
            <w:tcBorders>
              <w:top w:val="single" w:sz="4" w:space="0" w:color="auto"/>
              <w:left w:val="nil"/>
              <w:bottom w:val="single" w:sz="8" w:space="0" w:color="auto"/>
              <w:right w:val="single" w:sz="8" w:space="0" w:color="auto"/>
            </w:tcBorders>
            <w:shd w:val="clear" w:color="auto" w:fill="DDD9C3"/>
            <w:noWrap/>
            <w:vAlign w:val="bottom"/>
            <w:hideMark/>
          </w:tcPr>
          <w:p w:rsidR="00594B63" w:rsidRDefault="00594B63">
            <w:pPr>
              <w:spacing w:after="0" w:line="240" w:lineRule="auto"/>
              <w:rPr>
                <w:color w:val="000000"/>
                <w:sz w:val="20"/>
                <w:szCs w:val="20"/>
              </w:rPr>
            </w:pPr>
            <w:r>
              <w:rPr>
                <w:color w:val="000000"/>
                <w:sz w:val="20"/>
                <w:szCs w:val="20"/>
              </w:rPr>
              <w:t> </w:t>
            </w:r>
          </w:p>
        </w:tc>
      </w:tr>
    </w:tbl>
    <w:p w:rsidR="00392326" w:rsidRDefault="00392326" w:rsidP="002A4582">
      <w:pPr>
        <w:spacing w:after="0" w:line="240" w:lineRule="auto"/>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p w:rsidR="00392326" w:rsidRDefault="00392326" w:rsidP="00E422A2">
      <w:pPr>
        <w:spacing w:after="0" w:line="240" w:lineRule="auto"/>
        <w:jc w:val="center"/>
        <w:rPr>
          <w:rFonts w:ascii="Times New Roman" w:hAnsi="Times New Roman"/>
          <w:b/>
          <w:i/>
          <w:sz w:val="24"/>
          <w:szCs w:val="24"/>
        </w:rPr>
      </w:pPr>
    </w:p>
    <w:sectPr w:rsidR="00392326" w:rsidSect="00F06A09">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653" w:rsidRDefault="006C2653" w:rsidP="00BA5806">
      <w:pPr>
        <w:spacing w:after="0" w:line="240" w:lineRule="auto"/>
      </w:pPr>
      <w:r>
        <w:separator/>
      </w:r>
    </w:p>
  </w:endnote>
  <w:endnote w:type="continuationSeparator" w:id="0">
    <w:p w:rsidR="006C2653" w:rsidRDefault="006C2653" w:rsidP="00BA5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4178968"/>
      <w:docPartObj>
        <w:docPartGallery w:val="Page Numbers (Bottom of Page)"/>
        <w:docPartUnique/>
      </w:docPartObj>
    </w:sdtPr>
    <w:sdtEndPr>
      <w:rPr>
        <w:noProof/>
      </w:rPr>
    </w:sdtEndPr>
    <w:sdtContent>
      <w:p w:rsidR="00172C06" w:rsidRDefault="00172C06">
        <w:pPr>
          <w:pStyle w:val="Footer"/>
          <w:jc w:val="center"/>
        </w:pPr>
        <w:r>
          <w:fldChar w:fldCharType="begin"/>
        </w:r>
        <w:r>
          <w:instrText xml:space="preserve"> PAGE   \* MERGEFORMAT </w:instrText>
        </w:r>
        <w:r>
          <w:fldChar w:fldCharType="separate"/>
        </w:r>
        <w:r w:rsidR="00D648E4">
          <w:rPr>
            <w:noProof/>
          </w:rPr>
          <w:t>3</w:t>
        </w:r>
        <w:r>
          <w:rPr>
            <w:noProof/>
          </w:rPr>
          <w:fldChar w:fldCharType="end"/>
        </w:r>
      </w:p>
    </w:sdtContent>
  </w:sdt>
  <w:p w:rsidR="00172C06" w:rsidRDefault="00172C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653" w:rsidRDefault="006C2653" w:rsidP="00BA5806">
      <w:pPr>
        <w:spacing w:after="0" w:line="240" w:lineRule="auto"/>
      </w:pPr>
      <w:r>
        <w:separator/>
      </w:r>
    </w:p>
  </w:footnote>
  <w:footnote w:type="continuationSeparator" w:id="0">
    <w:p w:rsidR="006C2653" w:rsidRDefault="006C2653" w:rsidP="00BA58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63C5"/>
    <w:multiLevelType w:val="hybridMultilevel"/>
    <w:tmpl w:val="D8C495D2"/>
    <w:lvl w:ilvl="0" w:tplc="04090019">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 w15:restartNumberingAfterBreak="0">
    <w:nsid w:val="0429387C"/>
    <w:multiLevelType w:val="hybridMultilevel"/>
    <w:tmpl w:val="7722CE5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CC55F0"/>
    <w:multiLevelType w:val="hybridMultilevel"/>
    <w:tmpl w:val="F664E9AC"/>
    <w:lvl w:ilvl="0" w:tplc="7744CDF0">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44D74A6"/>
    <w:multiLevelType w:val="hybridMultilevel"/>
    <w:tmpl w:val="423AFC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1B3D70"/>
    <w:multiLevelType w:val="hybridMultilevel"/>
    <w:tmpl w:val="8A0699C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8F74A0F"/>
    <w:multiLevelType w:val="hybridMultilevel"/>
    <w:tmpl w:val="2F0E9D3E"/>
    <w:lvl w:ilvl="0" w:tplc="EE8CF644">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326A37F2"/>
    <w:multiLevelType w:val="hybridMultilevel"/>
    <w:tmpl w:val="41EE9D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C7A604A"/>
    <w:multiLevelType w:val="hybridMultilevel"/>
    <w:tmpl w:val="F6E42184"/>
    <w:lvl w:ilvl="0" w:tplc="0409000F">
      <w:start w:val="1"/>
      <w:numFmt w:val="decimal"/>
      <w:lvlText w:val="%1."/>
      <w:lvlJc w:val="left"/>
      <w:pPr>
        <w:tabs>
          <w:tab w:val="num" w:pos="720"/>
        </w:tabs>
        <w:ind w:left="720" w:hanging="360"/>
      </w:pPr>
      <w:rPr>
        <w:rFonts w:cs="Times New Roman" w:hint="default"/>
      </w:rPr>
    </w:lvl>
    <w:lvl w:ilvl="1" w:tplc="25CEBAF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877C5C"/>
    <w:multiLevelType w:val="hybridMultilevel"/>
    <w:tmpl w:val="F0C451CA"/>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DC01383"/>
    <w:multiLevelType w:val="hybridMultilevel"/>
    <w:tmpl w:val="F3940022"/>
    <w:lvl w:ilvl="0" w:tplc="04090019">
      <w:start w:val="1"/>
      <w:numFmt w:val="lowerLetter"/>
      <w:lvlText w:val="%1."/>
      <w:lvlJc w:val="left"/>
      <w:pPr>
        <w:tabs>
          <w:tab w:val="num" w:pos="720"/>
        </w:tabs>
        <w:ind w:left="720" w:hanging="360"/>
      </w:pPr>
      <w:rPr>
        <w:rFonts w:cs="Times New Roman" w:hint="default"/>
      </w:rPr>
    </w:lvl>
    <w:lvl w:ilvl="1" w:tplc="784C5AA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EBD75E6"/>
    <w:multiLevelType w:val="hybridMultilevel"/>
    <w:tmpl w:val="C37ACD04"/>
    <w:lvl w:ilvl="0" w:tplc="C7BAD436">
      <w:start w:val="17"/>
      <w:numFmt w:val="decimal"/>
      <w:lvlText w:val="%1."/>
      <w:lvlJc w:val="left"/>
      <w:pPr>
        <w:tabs>
          <w:tab w:val="num" w:pos="480"/>
        </w:tabs>
        <w:ind w:left="480" w:hanging="42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1" w15:restartNumberingAfterBreak="0">
    <w:nsid w:val="540D3D9D"/>
    <w:multiLevelType w:val="hybridMultilevel"/>
    <w:tmpl w:val="02CA499C"/>
    <w:lvl w:ilvl="0" w:tplc="0409000F">
      <w:start w:val="3"/>
      <w:numFmt w:val="decimal"/>
      <w:lvlText w:val="%1."/>
      <w:lvlJc w:val="left"/>
      <w:pPr>
        <w:tabs>
          <w:tab w:val="num" w:pos="810"/>
        </w:tabs>
        <w:ind w:left="810" w:hanging="360"/>
      </w:pPr>
      <w:rPr>
        <w:rFonts w:cs="Times New Roman" w:hint="default"/>
      </w:rPr>
    </w:lvl>
    <w:lvl w:ilvl="1" w:tplc="04090019">
      <w:start w:val="1"/>
      <w:numFmt w:val="lowerLetter"/>
      <w:lvlText w:val="%2."/>
      <w:lvlJc w:val="left"/>
      <w:pPr>
        <w:tabs>
          <w:tab w:val="num" w:pos="1530"/>
        </w:tabs>
        <w:ind w:left="1530" w:hanging="360"/>
      </w:pPr>
      <w:rPr>
        <w:rFonts w:cs="Times New Roman" w:hint="default"/>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2" w15:restartNumberingAfterBreak="0">
    <w:nsid w:val="5DDF7553"/>
    <w:multiLevelType w:val="hybridMultilevel"/>
    <w:tmpl w:val="757A4F1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E24644D"/>
    <w:multiLevelType w:val="hybridMultilevel"/>
    <w:tmpl w:val="EAA0BF8C"/>
    <w:lvl w:ilvl="0" w:tplc="FE5E026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60DE7380"/>
    <w:multiLevelType w:val="hybridMultilevel"/>
    <w:tmpl w:val="535A0F18"/>
    <w:lvl w:ilvl="0" w:tplc="76D43C80">
      <w:start w:val="17"/>
      <w:numFmt w:val="decimal"/>
      <w:lvlText w:val="%1."/>
      <w:lvlJc w:val="left"/>
      <w:pPr>
        <w:tabs>
          <w:tab w:val="num" w:pos="420"/>
        </w:tabs>
        <w:ind w:left="420" w:hanging="360"/>
      </w:pPr>
      <w:rPr>
        <w:rFonts w:cs="Times New Roman" w:hint="default"/>
        <w:color w:val="auto"/>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5" w15:restartNumberingAfterBreak="0">
    <w:nsid w:val="67F60B04"/>
    <w:multiLevelType w:val="hybridMultilevel"/>
    <w:tmpl w:val="BC1294F6"/>
    <w:lvl w:ilvl="0" w:tplc="323C8C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6380461"/>
    <w:multiLevelType w:val="hybridMultilevel"/>
    <w:tmpl w:val="B96289D6"/>
    <w:lvl w:ilvl="0" w:tplc="6DB07426">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6"/>
  </w:num>
  <w:num w:numId="3">
    <w:abstractNumId w:val="7"/>
  </w:num>
  <w:num w:numId="4">
    <w:abstractNumId w:val="4"/>
  </w:num>
  <w:num w:numId="5">
    <w:abstractNumId w:val="8"/>
  </w:num>
  <w:num w:numId="6">
    <w:abstractNumId w:val="11"/>
  </w:num>
  <w:num w:numId="7">
    <w:abstractNumId w:val="1"/>
  </w:num>
  <w:num w:numId="8">
    <w:abstractNumId w:val="9"/>
  </w:num>
  <w:num w:numId="9">
    <w:abstractNumId w:val="15"/>
  </w:num>
  <w:num w:numId="10">
    <w:abstractNumId w:val="0"/>
  </w:num>
  <w:num w:numId="11">
    <w:abstractNumId w:val="2"/>
  </w:num>
  <w:num w:numId="12">
    <w:abstractNumId w:val="12"/>
  </w:num>
  <w:num w:numId="13">
    <w:abstractNumId w:val="16"/>
  </w:num>
  <w:num w:numId="14">
    <w:abstractNumId w:val="13"/>
  </w:num>
  <w:num w:numId="15">
    <w:abstractNumId w:val="10"/>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19B"/>
    <w:rsid w:val="00001924"/>
    <w:rsid w:val="00002396"/>
    <w:rsid w:val="00004C47"/>
    <w:rsid w:val="00014C04"/>
    <w:rsid w:val="00015815"/>
    <w:rsid w:val="0001776F"/>
    <w:rsid w:val="000220FE"/>
    <w:rsid w:val="00022EA4"/>
    <w:rsid w:val="00026FA6"/>
    <w:rsid w:val="000274AD"/>
    <w:rsid w:val="00030DBE"/>
    <w:rsid w:val="00031919"/>
    <w:rsid w:val="0003228A"/>
    <w:rsid w:val="00033387"/>
    <w:rsid w:val="00034DB6"/>
    <w:rsid w:val="000356ED"/>
    <w:rsid w:val="00036C30"/>
    <w:rsid w:val="00044BAD"/>
    <w:rsid w:val="00046693"/>
    <w:rsid w:val="00050247"/>
    <w:rsid w:val="000514A7"/>
    <w:rsid w:val="00051546"/>
    <w:rsid w:val="0005392B"/>
    <w:rsid w:val="000564A0"/>
    <w:rsid w:val="00063D58"/>
    <w:rsid w:val="0007133D"/>
    <w:rsid w:val="000721FA"/>
    <w:rsid w:val="000776BB"/>
    <w:rsid w:val="000812C9"/>
    <w:rsid w:val="00085976"/>
    <w:rsid w:val="00085A35"/>
    <w:rsid w:val="00086D5E"/>
    <w:rsid w:val="00091F07"/>
    <w:rsid w:val="00093726"/>
    <w:rsid w:val="00093B88"/>
    <w:rsid w:val="000A15EC"/>
    <w:rsid w:val="000A368C"/>
    <w:rsid w:val="000A4236"/>
    <w:rsid w:val="000A45D3"/>
    <w:rsid w:val="000A7680"/>
    <w:rsid w:val="000B18A4"/>
    <w:rsid w:val="000B47DE"/>
    <w:rsid w:val="000B5BE7"/>
    <w:rsid w:val="000B649A"/>
    <w:rsid w:val="000C003E"/>
    <w:rsid w:val="000C38FB"/>
    <w:rsid w:val="000C4B39"/>
    <w:rsid w:val="000C6809"/>
    <w:rsid w:val="000C723E"/>
    <w:rsid w:val="000C72FF"/>
    <w:rsid w:val="000C735C"/>
    <w:rsid w:val="000D224E"/>
    <w:rsid w:val="000D78EE"/>
    <w:rsid w:val="000E0FFF"/>
    <w:rsid w:val="000E1383"/>
    <w:rsid w:val="000E190C"/>
    <w:rsid w:val="000E3276"/>
    <w:rsid w:val="00100E0A"/>
    <w:rsid w:val="00103148"/>
    <w:rsid w:val="00104AA8"/>
    <w:rsid w:val="00104FDB"/>
    <w:rsid w:val="001060B0"/>
    <w:rsid w:val="00110E5E"/>
    <w:rsid w:val="00111B98"/>
    <w:rsid w:val="00112949"/>
    <w:rsid w:val="0011632D"/>
    <w:rsid w:val="00121337"/>
    <w:rsid w:val="00121903"/>
    <w:rsid w:val="001235A1"/>
    <w:rsid w:val="00126399"/>
    <w:rsid w:val="001264BA"/>
    <w:rsid w:val="00126EDB"/>
    <w:rsid w:val="0012788A"/>
    <w:rsid w:val="00134B24"/>
    <w:rsid w:val="001461D9"/>
    <w:rsid w:val="00152446"/>
    <w:rsid w:val="001565B9"/>
    <w:rsid w:val="00167CED"/>
    <w:rsid w:val="00172C06"/>
    <w:rsid w:val="001733BB"/>
    <w:rsid w:val="00174F69"/>
    <w:rsid w:val="00191AF6"/>
    <w:rsid w:val="00192540"/>
    <w:rsid w:val="001936B5"/>
    <w:rsid w:val="00196669"/>
    <w:rsid w:val="001979FF"/>
    <w:rsid w:val="00197B19"/>
    <w:rsid w:val="001A4747"/>
    <w:rsid w:val="001A6F60"/>
    <w:rsid w:val="001B2092"/>
    <w:rsid w:val="001B29DD"/>
    <w:rsid w:val="001B3F65"/>
    <w:rsid w:val="001B5AB8"/>
    <w:rsid w:val="001C0D4A"/>
    <w:rsid w:val="001C26F0"/>
    <w:rsid w:val="001C3ADE"/>
    <w:rsid w:val="001C4AE8"/>
    <w:rsid w:val="001C7801"/>
    <w:rsid w:val="001E2B01"/>
    <w:rsid w:val="001E36C8"/>
    <w:rsid w:val="001E473D"/>
    <w:rsid w:val="001E64A7"/>
    <w:rsid w:val="001E7984"/>
    <w:rsid w:val="001F16DF"/>
    <w:rsid w:val="001F3D7F"/>
    <w:rsid w:val="00204AC4"/>
    <w:rsid w:val="0021098F"/>
    <w:rsid w:val="00210DEF"/>
    <w:rsid w:val="0021262F"/>
    <w:rsid w:val="00214109"/>
    <w:rsid w:val="00214BF9"/>
    <w:rsid w:val="00215952"/>
    <w:rsid w:val="00216953"/>
    <w:rsid w:val="00217029"/>
    <w:rsid w:val="00220170"/>
    <w:rsid w:val="00220524"/>
    <w:rsid w:val="00220B15"/>
    <w:rsid w:val="00221F8C"/>
    <w:rsid w:val="00221FA3"/>
    <w:rsid w:val="0022272F"/>
    <w:rsid w:val="002230CF"/>
    <w:rsid w:val="00223655"/>
    <w:rsid w:val="00223B87"/>
    <w:rsid w:val="00225FBD"/>
    <w:rsid w:val="00227EBE"/>
    <w:rsid w:val="002323D4"/>
    <w:rsid w:val="00232B3C"/>
    <w:rsid w:val="00232DE9"/>
    <w:rsid w:val="00236C7F"/>
    <w:rsid w:val="00240415"/>
    <w:rsid w:val="00242930"/>
    <w:rsid w:val="00256A43"/>
    <w:rsid w:val="00263304"/>
    <w:rsid w:val="00263A63"/>
    <w:rsid w:val="002654A7"/>
    <w:rsid w:val="00274746"/>
    <w:rsid w:val="00276128"/>
    <w:rsid w:val="00277A09"/>
    <w:rsid w:val="002802FD"/>
    <w:rsid w:val="002815E6"/>
    <w:rsid w:val="00282AB0"/>
    <w:rsid w:val="00286653"/>
    <w:rsid w:val="00290ECA"/>
    <w:rsid w:val="0029119B"/>
    <w:rsid w:val="002913D4"/>
    <w:rsid w:val="0029444E"/>
    <w:rsid w:val="00294B5E"/>
    <w:rsid w:val="00296291"/>
    <w:rsid w:val="0029761C"/>
    <w:rsid w:val="002A103B"/>
    <w:rsid w:val="002A4582"/>
    <w:rsid w:val="002A5BEB"/>
    <w:rsid w:val="002B1D04"/>
    <w:rsid w:val="002B2DDE"/>
    <w:rsid w:val="002B3397"/>
    <w:rsid w:val="002B58A9"/>
    <w:rsid w:val="002C7E43"/>
    <w:rsid w:val="002D07B1"/>
    <w:rsid w:val="002D18CF"/>
    <w:rsid w:val="002D1F41"/>
    <w:rsid w:val="002D3070"/>
    <w:rsid w:val="002D68F2"/>
    <w:rsid w:val="002E0FCC"/>
    <w:rsid w:val="002E1E02"/>
    <w:rsid w:val="002E2B2E"/>
    <w:rsid w:val="002E2D02"/>
    <w:rsid w:val="002E786A"/>
    <w:rsid w:val="002F1353"/>
    <w:rsid w:val="002F2B95"/>
    <w:rsid w:val="002F6445"/>
    <w:rsid w:val="002F7E67"/>
    <w:rsid w:val="00303294"/>
    <w:rsid w:val="00304E22"/>
    <w:rsid w:val="00310644"/>
    <w:rsid w:val="00312986"/>
    <w:rsid w:val="00314A3B"/>
    <w:rsid w:val="00325A96"/>
    <w:rsid w:val="00325B77"/>
    <w:rsid w:val="00327539"/>
    <w:rsid w:val="00327E1C"/>
    <w:rsid w:val="003311E4"/>
    <w:rsid w:val="003333FF"/>
    <w:rsid w:val="00335871"/>
    <w:rsid w:val="0033721B"/>
    <w:rsid w:val="00340007"/>
    <w:rsid w:val="00342399"/>
    <w:rsid w:val="003449F4"/>
    <w:rsid w:val="00345421"/>
    <w:rsid w:val="00351BCB"/>
    <w:rsid w:val="00352F1F"/>
    <w:rsid w:val="003537E0"/>
    <w:rsid w:val="003565E9"/>
    <w:rsid w:val="00356925"/>
    <w:rsid w:val="00357FC8"/>
    <w:rsid w:val="003610F5"/>
    <w:rsid w:val="00363166"/>
    <w:rsid w:val="003717C3"/>
    <w:rsid w:val="00371F9E"/>
    <w:rsid w:val="00372A97"/>
    <w:rsid w:val="00381D7D"/>
    <w:rsid w:val="00382FE5"/>
    <w:rsid w:val="003830D7"/>
    <w:rsid w:val="0038348B"/>
    <w:rsid w:val="003847FB"/>
    <w:rsid w:val="003849B3"/>
    <w:rsid w:val="00385917"/>
    <w:rsid w:val="00386B71"/>
    <w:rsid w:val="00387440"/>
    <w:rsid w:val="00392326"/>
    <w:rsid w:val="003958DF"/>
    <w:rsid w:val="003966EF"/>
    <w:rsid w:val="003973D5"/>
    <w:rsid w:val="00397CF0"/>
    <w:rsid w:val="003A03B6"/>
    <w:rsid w:val="003A04B4"/>
    <w:rsid w:val="003A3947"/>
    <w:rsid w:val="003A603F"/>
    <w:rsid w:val="003A6BBD"/>
    <w:rsid w:val="003A7BEA"/>
    <w:rsid w:val="003B0EF8"/>
    <w:rsid w:val="003B137A"/>
    <w:rsid w:val="003B5CAA"/>
    <w:rsid w:val="003C3B0C"/>
    <w:rsid w:val="003C4BB0"/>
    <w:rsid w:val="003C54C7"/>
    <w:rsid w:val="003C5A4C"/>
    <w:rsid w:val="003D7C91"/>
    <w:rsid w:val="003E23E3"/>
    <w:rsid w:val="003F5095"/>
    <w:rsid w:val="003F5509"/>
    <w:rsid w:val="003F5BCA"/>
    <w:rsid w:val="003F788F"/>
    <w:rsid w:val="00400566"/>
    <w:rsid w:val="00401893"/>
    <w:rsid w:val="0040326D"/>
    <w:rsid w:val="00403730"/>
    <w:rsid w:val="00405949"/>
    <w:rsid w:val="00410F6C"/>
    <w:rsid w:val="00414E8E"/>
    <w:rsid w:val="004317FF"/>
    <w:rsid w:val="0043221B"/>
    <w:rsid w:val="004371EF"/>
    <w:rsid w:val="00441EF1"/>
    <w:rsid w:val="00444BE7"/>
    <w:rsid w:val="004455CE"/>
    <w:rsid w:val="004458E0"/>
    <w:rsid w:val="004459E7"/>
    <w:rsid w:val="00445B46"/>
    <w:rsid w:val="0045157E"/>
    <w:rsid w:val="00453042"/>
    <w:rsid w:val="00456F7C"/>
    <w:rsid w:val="00457DAD"/>
    <w:rsid w:val="00460A6C"/>
    <w:rsid w:val="0046390D"/>
    <w:rsid w:val="00463A27"/>
    <w:rsid w:val="00463E4A"/>
    <w:rsid w:val="00465424"/>
    <w:rsid w:val="004664D7"/>
    <w:rsid w:val="00466A5F"/>
    <w:rsid w:val="004679E6"/>
    <w:rsid w:val="004737AC"/>
    <w:rsid w:val="00473B09"/>
    <w:rsid w:val="00473E06"/>
    <w:rsid w:val="004769DB"/>
    <w:rsid w:val="004858B3"/>
    <w:rsid w:val="004865DA"/>
    <w:rsid w:val="004872EF"/>
    <w:rsid w:val="004922BE"/>
    <w:rsid w:val="004A221B"/>
    <w:rsid w:val="004A3040"/>
    <w:rsid w:val="004A64CD"/>
    <w:rsid w:val="004B002C"/>
    <w:rsid w:val="004B340C"/>
    <w:rsid w:val="004B544C"/>
    <w:rsid w:val="004B5B5D"/>
    <w:rsid w:val="004B6614"/>
    <w:rsid w:val="004B7042"/>
    <w:rsid w:val="004B75DD"/>
    <w:rsid w:val="004B7DCA"/>
    <w:rsid w:val="004C0199"/>
    <w:rsid w:val="004C291C"/>
    <w:rsid w:val="004D1F3A"/>
    <w:rsid w:val="004D22EC"/>
    <w:rsid w:val="004D486A"/>
    <w:rsid w:val="004D6884"/>
    <w:rsid w:val="004D7C9C"/>
    <w:rsid w:val="004F195E"/>
    <w:rsid w:val="004F3F78"/>
    <w:rsid w:val="004F5A84"/>
    <w:rsid w:val="004F5F22"/>
    <w:rsid w:val="004F6297"/>
    <w:rsid w:val="00502E8C"/>
    <w:rsid w:val="00503713"/>
    <w:rsid w:val="00507897"/>
    <w:rsid w:val="00510FB3"/>
    <w:rsid w:val="005121B8"/>
    <w:rsid w:val="00514B9A"/>
    <w:rsid w:val="005152A9"/>
    <w:rsid w:val="005165DE"/>
    <w:rsid w:val="00520F81"/>
    <w:rsid w:val="0053137F"/>
    <w:rsid w:val="00531A08"/>
    <w:rsid w:val="00531DFC"/>
    <w:rsid w:val="00536922"/>
    <w:rsid w:val="00543FA9"/>
    <w:rsid w:val="0055436E"/>
    <w:rsid w:val="00555ED2"/>
    <w:rsid w:val="005578E9"/>
    <w:rsid w:val="0056043F"/>
    <w:rsid w:val="005615DB"/>
    <w:rsid w:val="00562D21"/>
    <w:rsid w:val="005630B9"/>
    <w:rsid w:val="00563199"/>
    <w:rsid w:val="00565581"/>
    <w:rsid w:val="00567E7C"/>
    <w:rsid w:val="00570852"/>
    <w:rsid w:val="00572A6C"/>
    <w:rsid w:val="00573088"/>
    <w:rsid w:val="0057380C"/>
    <w:rsid w:val="00577069"/>
    <w:rsid w:val="005802C2"/>
    <w:rsid w:val="00581A20"/>
    <w:rsid w:val="00581BDA"/>
    <w:rsid w:val="00582764"/>
    <w:rsid w:val="00583E32"/>
    <w:rsid w:val="00584894"/>
    <w:rsid w:val="00585305"/>
    <w:rsid w:val="00592BD7"/>
    <w:rsid w:val="00593C2C"/>
    <w:rsid w:val="00594B63"/>
    <w:rsid w:val="0059773F"/>
    <w:rsid w:val="005A2BBA"/>
    <w:rsid w:val="005A56E2"/>
    <w:rsid w:val="005A6E60"/>
    <w:rsid w:val="005A76EE"/>
    <w:rsid w:val="005B325F"/>
    <w:rsid w:val="005B6DA9"/>
    <w:rsid w:val="005B726C"/>
    <w:rsid w:val="005B7AE7"/>
    <w:rsid w:val="005B7D04"/>
    <w:rsid w:val="005B7EDB"/>
    <w:rsid w:val="005C2FB6"/>
    <w:rsid w:val="005D0F2A"/>
    <w:rsid w:val="005D2465"/>
    <w:rsid w:val="005D548E"/>
    <w:rsid w:val="005E04DE"/>
    <w:rsid w:val="005E26B3"/>
    <w:rsid w:val="005E3426"/>
    <w:rsid w:val="005E55D5"/>
    <w:rsid w:val="005E5DDF"/>
    <w:rsid w:val="005E62D7"/>
    <w:rsid w:val="005F0689"/>
    <w:rsid w:val="00601070"/>
    <w:rsid w:val="00601410"/>
    <w:rsid w:val="00602678"/>
    <w:rsid w:val="00603FBB"/>
    <w:rsid w:val="00604F02"/>
    <w:rsid w:val="0060725C"/>
    <w:rsid w:val="00611933"/>
    <w:rsid w:val="006133D8"/>
    <w:rsid w:val="00614A3F"/>
    <w:rsid w:val="00617858"/>
    <w:rsid w:val="00620F2B"/>
    <w:rsid w:val="00621B10"/>
    <w:rsid w:val="00625774"/>
    <w:rsid w:val="006339CE"/>
    <w:rsid w:val="00635236"/>
    <w:rsid w:val="00641149"/>
    <w:rsid w:val="006421DE"/>
    <w:rsid w:val="006438D9"/>
    <w:rsid w:val="006466A7"/>
    <w:rsid w:val="006523DB"/>
    <w:rsid w:val="00653CDC"/>
    <w:rsid w:val="00654145"/>
    <w:rsid w:val="00655EC9"/>
    <w:rsid w:val="006579BC"/>
    <w:rsid w:val="00661093"/>
    <w:rsid w:val="0066503A"/>
    <w:rsid w:val="00667787"/>
    <w:rsid w:val="00671853"/>
    <w:rsid w:val="00674466"/>
    <w:rsid w:val="00682276"/>
    <w:rsid w:val="00682844"/>
    <w:rsid w:val="00682ABA"/>
    <w:rsid w:val="00685A4C"/>
    <w:rsid w:val="00686CC3"/>
    <w:rsid w:val="00687247"/>
    <w:rsid w:val="006972C4"/>
    <w:rsid w:val="006A03E2"/>
    <w:rsid w:val="006A05B0"/>
    <w:rsid w:val="006A203D"/>
    <w:rsid w:val="006A21A3"/>
    <w:rsid w:val="006A3C60"/>
    <w:rsid w:val="006B24E2"/>
    <w:rsid w:val="006B2E6D"/>
    <w:rsid w:val="006B30BD"/>
    <w:rsid w:val="006B3774"/>
    <w:rsid w:val="006B3949"/>
    <w:rsid w:val="006B39B9"/>
    <w:rsid w:val="006C15C9"/>
    <w:rsid w:val="006C20B1"/>
    <w:rsid w:val="006C2653"/>
    <w:rsid w:val="006C296C"/>
    <w:rsid w:val="006C2EB3"/>
    <w:rsid w:val="006C5E43"/>
    <w:rsid w:val="006C68CF"/>
    <w:rsid w:val="006D41DA"/>
    <w:rsid w:val="006D50E4"/>
    <w:rsid w:val="006D5958"/>
    <w:rsid w:val="006D6D1B"/>
    <w:rsid w:val="006D77DB"/>
    <w:rsid w:val="006E1842"/>
    <w:rsid w:val="006E2559"/>
    <w:rsid w:val="006E54D6"/>
    <w:rsid w:val="006F0840"/>
    <w:rsid w:val="006F48CB"/>
    <w:rsid w:val="006F62FE"/>
    <w:rsid w:val="006F64C4"/>
    <w:rsid w:val="00702535"/>
    <w:rsid w:val="00710847"/>
    <w:rsid w:val="00710FB4"/>
    <w:rsid w:val="00711B28"/>
    <w:rsid w:val="00714BDC"/>
    <w:rsid w:val="007161B6"/>
    <w:rsid w:val="007211CF"/>
    <w:rsid w:val="007224BF"/>
    <w:rsid w:val="00732966"/>
    <w:rsid w:val="0073296C"/>
    <w:rsid w:val="00732B6F"/>
    <w:rsid w:val="0073431D"/>
    <w:rsid w:val="00735000"/>
    <w:rsid w:val="0073586C"/>
    <w:rsid w:val="007362FC"/>
    <w:rsid w:val="00742B2E"/>
    <w:rsid w:val="00743AC2"/>
    <w:rsid w:val="0075017E"/>
    <w:rsid w:val="00750745"/>
    <w:rsid w:val="00751158"/>
    <w:rsid w:val="00753AAF"/>
    <w:rsid w:val="00755800"/>
    <w:rsid w:val="00755BCA"/>
    <w:rsid w:val="00761848"/>
    <w:rsid w:val="00762422"/>
    <w:rsid w:val="007626FF"/>
    <w:rsid w:val="007631FD"/>
    <w:rsid w:val="00764547"/>
    <w:rsid w:val="007661B7"/>
    <w:rsid w:val="00766D6E"/>
    <w:rsid w:val="00770417"/>
    <w:rsid w:val="007722E2"/>
    <w:rsid w:val="007772FE"/>
    <w:rsid w:val="007861FA"/>
    <w:rsid w:val="0079083D"/>
    <w:rsid w:val="00790E36"/>
    <w:rsid w:val="007949B3"/>
    <w:rsid w:val="0079621E"/>
    <w:rsid w:val="007A0397"/>
    <w:rsid w:val="007A040F"/>
    <w:rsid w:val="007A1B41"/>
    <w:rsid w:val="007A27FF"/>
    <w:rsid w:val="007A5475"/>
    <w:rsid w:val="007A631C"/>
    <w:rsid w:val="007B0CA3"/>
    <w:rsid w:val="007B1196"/>
    <w:rsid w:val="007C3997"/>
    <w:rsid w:val="007C4685"/>
    <w:rsid w:val="007C4A38"/>
    <w:rsid w:val="007C4DED"/>
    <w:rsid w:val="007C70A6"/>
    <w:rsid w:val="007D07BA"/>
    <w:rsid w:val="007D180D"/>
    <w:rsid w:val="007D1B14"/>
    <w:rsid w:val="007D70F8"/>
    <w:rsid w:val="007E0E6B"/>
    <w:rsid w:val="007E298C"/>
    <w:rsid w:val="007E7F66"/>
    <w:rsid w:val="007F04C4"/>
    <w:rsid w:val="007F5898"/>
    <w:rsid w:val="007F5B1D"/>
    <w:rsid w:val="007F6C1C"/>
    <w:rsid w:val="007F75A1"/>
    <w:rsid w:val="00803713"/>
    <w:rsid w:val="00804DB8"/>
    <w:rsid w:val="00805418"/>
    <w:rsid w:val="00805C65"/>
    <w:rsid w:val="0081058B"/>
    <w:rsid w:val="00812BD6"/>
    <w:rsid w:val="008200DB"/>
    <w:rsid w:val="00820D96"/>
    <w:rsid w:val="00820DE0"/>
    <w:rsid w:val="00825831"/>
    <w:rsid w:val="008261B5"/>
    <w:rsid w:val="0082636D"/>
    <w:rsid w:val="008272B2"/>
    <w:rsid w:val="008303CE"/>
    <w:rsid w:val="00831A96"/>
    <w:rsid w:val="00834C1D"/>
    <w:rsid w:val="00842906"/>
    <w:rsid w:val="008433A5"/>
    <w:rsid w:val="00845A0D"/>
    <w:rsid w:val="00847671"/>
    <w:rsid w:val="00847FE4"/>
    <w:rsid w:val="00850B2B"/>
    <w:rsid w:val="00850B6E"/>
    <w:rsid w:val="008529A9"/>
    <w:rsid w:val="008545F0"/>
    <w:rsid w:val="00854F1B"/>
    <w:rsid w:val="00857FDC"/>
    <w:rsid w:val="00865C12"/>
    <w:rsid w:val="0086671E"/>
    <w:rsid w:val="00867AB0"/>
    <w:rsid w:val="008743B2"/>
    <w:rsid w:val="00883C6B"/>
    <w:rsid w:val="00884394"/>
    <w:rsid w:val="008870AE"/>
    <w:rsid w:val="0089211D"/>
    <w:rsid w:val="008964CD"/>
    <w:rsid w:val="00897918"/>
    <w:rsid w:val="00897B3A"/>
    <w:rsid w:val="008A13F7"/>
    <w:rsid w:val="008A46B9"/>
    <w:rsid w:val="008A4BCF"/>
    <w:rsid w:val="008A4D7C"/>
    <w:rsid w:val="008A4F72"/>
    <w:rsid w:val="008A5BD5"/>
    <w:rsid w:val="008B0D5E"/>
    <w:rsid w:val="008B25A5"/>
    <w:rsid w:val="008B25D2"/>
    <w:rsid w:val="008B6C69"/>
    <w:rsid w:val="008C0D13"/>
    <w:rsid w:val="008C5760"/>
    <w:rsid w:val="008C6794"/>
    <w:rsid w:val="008C77DD"/>
    <w:rsid w:val="008D3BA3"/>
    <w:rsid w:val="008D6EE9"/>
    <w:rsid w:val="008E1246"/>
    <w:rsid w:val="008E3C78"/>
    <w:rsid w:val="008E5608"/>
    <w:rsid w:val="008E7473"/>
    <w:rsid w:val="008F051F"/>
    <w:rsid w:val="008F7B90"/>
    <w:rsid w:val="009020E5"/>
    <w:rsid w:val="00904B87"/>
    <w:rsid w:val="00911BD9"/>
    <w:rsid w:val="009124DA"/>
    <w:rsid w:val="0092269E"/>
    <w:rsid w:val="00923D22"/>
    <w:rsid w:val="00925248"/>
    <w:rsid w:val="0093093B"/>
    <w:rsid w:val="0093316C"/>
    <w:rsid w:val="00933DDF"/>
    <w:rsid w:val="00935AF5"/>
    <w:rsid w:val="0093756F"/>
    <w:rsid w:val="00941784"/>
    <w:rsid w:val="00941C55"/>
    <w:rsid w:val="009425DA"/>
    <w:rsid w:val="00944E85"/>
    <w:rsid w:val="00950CED"/>
    <w:rsid w:val="00951A4F"/>
    <w:rsid w:val="0095512C"/>
    <w:rsid w:val="00955B74"/>
    <w:rsid w:val="00961176"/>
    <w:rsid w:val="009667EC"/>
    <w:rsid w:val="00967EB2"/>
    <w:rsid w:val="009731BA"/>
    <w:rsid w:val="00973E61"/>
    <w:rsid w:val="009762A7"/>
    <w:rsid w:val="00984546"/>
    <w:rsid w:val="00987C39"/>
    <w:rsid w:val="009922BE"/>
    <w:rsid w:val="00995D00"/>
    <w:rsid w:val="00996B70"/>
    <w:rsid w:val="0099777D"/>
    <w:rsid w:val="009A3DC2"/>
    <w:rsid w:val="009A5341"/>
    <w:rsid w:val="009B2A82"/>
    <w:rsid w:val="009B60FB"/>
    <w:rsid w:val="009C3879"/>
    <w:rsid w:val="009C3D20"/>
    <w:rsid w:val="009C59D8"/>
    <w:rsid w:val="009D2EC6"/>
    <w:rsid w:val="009D611B"/>
    <w:rsid w:val="009E07F7"/>
    <w:rsid w:val="009E45B0"/>
    <w:rsid w:val="009E5086"/>
    <w:rsid w:val="009F16D3"/>
    <w:rsid w:val="009F5B60"/>
    <w:rsid w:val="009F61E3"/>
    <w:rsid w:val="00A00EB2"/>
    <w:rsid w:val="00A01A21"/>
    <w:rsid w:val="00A0283E"/>
    <w:rsid w:val="00A04AEC"/>
    <w:rsid w:val="00A05221"/>
    <w:rsid w:val="00A07887"/>
    <w:rsid w:val="00A106A5"/>
    <w:rsid w:val="00A11897"/>
    <w:rsid w:val="00A15614"/>
    <w:rsid w:val="00A2148B"/>
    <w:rsid w:val="00A22886"/>
    <w:rsid w:val="00A2726A"/>
    <w:rsid w:val="00A27EB4"/>
    <w:rsid w:val="00A319BB"/>
    <w:rsid w:val="00A46E88"/>
    <w:rsid w:val="00A47D7B"/>
    <w:rsid w:val="00A54D98"/>
    <w:rsid w:val="00A54E0E"/>
    <w:rsid w:val="00A556F2"/>
    <w:rsid w:val="00A5589B"/>
    <w:rsid w:val="00A61131"/>
    <w:rsid w:val="00A6407C"/>
    <w:rsid w:val="00A66D18"/>
    <w:rsid w:val="00A67C23"/>
    <w:rsid w:val="00A710D7"/>
    <w:rsid w:val="00A72A1B"/>
    <w:rsid w:val="00A7676B"/>
    <w:rsid w:val="00A77098"/>
    <w:rsid w:val="00A83C99"/>
    <w:rsid w:val="00A906CF"/>
    <w:rsid w:val="00A91BC9"/>
    <w:rsid w:val="00A948A8"/>
    <w:rsid w:val="00A97D0C"/>
    <w:rsid w:val="00AA0E27"/>
    <w:rsid w:val="00AB27C4"/>
    <w:rsid w:val="00AB6BCA"/>
    <w:rsid w:val="00AB7A31"/>
    <w:rsid w:val="00AC1E23"/>
    <w:rsid w:val="00AC2B52"/>
    <w:rsid w:val="00AD01E9"/>
    <w:rsid w:val="00AD24C7"/>
    <w:rsid w:val="00AD4538"/>
    <w:rsid w:val="00AD6EE8"/>
    <w:rsid w:val="00AD775B"/>
    <w:rsid w:val="00AE03AA"/>
    <w:rsid w:val="00AE0E3D"/>
    <w:rsid w:val="00AE2F77"/>
    <w:rsid w:val="00AE3C2A"/>
    <w:rsid w:val="00AE4D8F"/>
    <w:rsid w:val="00AF040A"/>
    <w:rsid w:val="00AF2CEE"/>
    <w:rsid w:val="00B00945"/>
    <w:rsid w:val="00B00FE1"/>
    <w:rsid w:val="00B03A1A"/>
    <w:rsid w:val="00B06346"/>
    <w:rsid w:val="00B1322C"/>
    <w:rsid w:val="00B14B6A"/>
    <w:rsid w:val="00B167BE"/>
    <w:rsid w:val="00B21D76"/>
    <w:rsid w:val="00B232CC"/>
    <w:rsid w:val="00B236ED"/>
    <w:rsid w:val="00B2479E"/>
    <w:rsid w:val="00B26C4F"/>
    <w:rsid w:val="00B31456"/>
    <w:rsid w:val="00B33F59"/>
    <w:rsid w:val="00B36D34"/>
    <w:rsid w:val="00B41BF7"/>
    <w:rsid w:val="00B424AA"/>
    <w:rsid w:val="00B44CDE"/>
    <w:rsid w:val="00B4501C"/>
    <w:rsid w:val="00B54241"/>
    <w:rsid w:val="00B544B0"/>
    <w:rsid w:val="00B552CF"/>
    <w:rsid w:val="00B55ED0"/>
    <w:rsid w:val="00B5636C"/>
    <w:rsid w:val="00B715A1"/>
    <w:rsid w:val="00B7354E"/>
    <w:rsid w:val="00B863A5"/>
    <w:rsid w:val="00B86980"/>
    <w:rsid w:val="00B86CC8"/>
    <w:rsid w:val="00B9320C"/>
    <w:rsid w:val="00B949F1"/>
    <w:rsid w:val="00B94A62"/>
    <w:rsid w:val="00B957D5"/>
    <w:rsid w:val="00BA3718"/>
    <w:rsid w:val="00BA433E"/>
    <w:rsid w:val="00BA5806"/>
    <w:rsid w:val="00BA5F03"/>
    <w:rsid w:val="00BA7B88"/>
    <w:rsid w:val="00BB0A6C"/>
    <w:rsid w:val="00BB4229"/>
    <w:rsid w:val="00BB4AC0"/>
    <w:rsid w:val="00BB4C4E"/>
    <w:rsid w:val="00BB5002"/>
    <w:rsid w:val="00BC2D7C"/>
    <w:rsid w:val="00BC44A0"/>
    <w:rsid w:val="00BD0D4B"/>
    <w:rsid w:val="00BD3AF8"/>
    <w:rsid w:val="00BD3BD8"/>
    <w:rsid w:val="00BF4FE4"/>
    <w:rsid w:val="00C00919"/>
    <w:rsid w:val="00C05A0A"/>
    <w:rsid w:val="00C11697"/>
    <w:rsid w:val="00C13B99"/>
    <w:rsid w:val="00C16BD5"/>
    <w:rsid w:val="00C176C4"/>
    <w:rsid w:val="00C22A69"/>
    <w:rsid w:val="00C2580A"/>
    <w:rsid w:val="00C32C66"/>
    <w:rsid w:val="00C33BAB"/>
    <w:rsid w:val="00C373E7"/>
    <w:rsid w:val="00C43150"/>
    <w:rsid w:val="00C43A5F"/>
    <w:rsid w:val="00C44EB8"/>
    <w:rsid w:val="00C52C4B"/>
    <w:rsid w:val="00C52C5C"/>
    <w:rsid w:val="00C53E67"/>
    <w:rsid w:val="00C57880"/>
    <w:rsid w:val="00C615B7"/>
    <w:rsid w:val="00C66AF7"/>
    <w:rsid w:val="00C66F62"/>
    <w:rsid w:val="00C70A62"/>
    <w:rsid w:val="00C70C0D"/>
    <w:rsid w:val="00C7164D"/>
    <w:rsid w:val="00C76724"/>
    <w:rsid w:val="00C839D7"/>
    <w:rsid w:val="00C872CB"/>
    <w:rsid w:val="00C915A0"/>
    <w:rsid w:val="00C9324B"/>
    <w:rsid w:val="00C9375A"/>
    <w:rsid w:val="00C93963"/>
    <w:rsid w:val="00C942D9"/>
    <w:rsid w:val="00C94306"/>
    <w:rsid w:val="00C945E0"/>
    <w:rsid w:val="00C95C5E"/>
    <w:rsid w:val="00CA0B4A"/>
    <w:rsid w:val="00CA12FE"/>
    <w:rsid w:val="00CA4F39"/>
    <w:rsid w:val="00CA60CB"/>
    <w:rsid w:val="00CA77A2"/>
    <w:rsid w:val="00CB1355"/>
    <w:rsid w:val="00CB419B"/>
    <w:rsid w:val="00CB6837"/>
    <w:rsid w:val="00CB68CC"/>
    <w:rsid w:val="00CC040D"/>
    <w:rsid w:val="00CC13F2"/>
    <w:rsid w:val="00CC37E2"/>
    <w:rsid w:val="00CC4225"/>
    <w:rsid w:val="00CC69CF"/>
    <w:rsid w:val="00CC7C5C"/>
    <w:rsid w:val="00CD2F95"/>
    <w:rsid w:val="00CD43AB"/>
    <w:rsid w:val="00CD5D3F"/>
    <w:rsid w:val="00CD7E99"/>
    <w:rsid w:val="00CE07C8"/>
    <w:rsid w:val="00CF3175"/>
    <w:rsid w:val="00D001F3"/>
    <w:rsid w:val="00D00886"/>
    <w:rsid w:val="00D01282"/>
    <w:rsid w:val="00D0139E"/>
    <w:rsid w:val="00D03A78"/>
    <w:rsid w:val="00D128B8"/>
    <w:rsid w:val="00D13EA1"/>
    <w:rsid w:val="00D14D43"/>
    <w:rsid w:val="00D17A8A"/>
    <w:rsid w:val="00D2388F"/>
    <w:rsid w:val="00D32659"/>
    <w:rsid w:val="00D34888"/>
    <w:rsid w:val="00D34C8D"/>
    <w:rsid w:val="00D45CF9"/>
    <w:rsid w:val="00D47ACA"/>
    <w:rsid w:val="00D61252"/>
    <w:rsid w:val="00D648E4"/>
    <w:rsid w:val="00D66BB2"/>
    <w:rsid w:val="00D70875"/>
    <w:rsid w:val="00D81C44"/>
    <w:rsid w:val="00D839FB"/>
    <w:rsid w:val="00D84BCC"/>
    <w:rsid w:val="00D8573D"/>
    <w:rsid w:val="00D932FE"/>
    <w:rsid w:val="00D93573"/>
    <w:rsid w:val="00D9384A"/>
    <w:rsid w:val="00D94A56"/>
    <w:rsid w:val="00D95852"/>
    <w:rsid w:val="00D97629"/>
    <w:rsid w:val="00DA03C0"/>
    <w:rsid w:val="00DA0FF0"/>
    <w:rsid w:val="00DA728E"/>
    <w:rsid w:val="00DB1020"/>
    <w:rsid w:val="00DB29F9"/>
    <w:rsid w:val="00DB2D09"/>
    <w:rsid w:val="00DD2E13"/>
    <w:rsid w:val="00DD3D5F"/>
    <w:rsid w:val="00DD51AF"/>
    <w:rsid w:val="00DD5807"/>
    <w:rsid w:val="00DD5DE5"/>
    <w:rsid w:val="00DD7DBC"/>
    <w:rsid w:val="00DE1CFB"/>
    <w:rsid w:val="00DE401D"/>
    <w:rsid w:val="00DE4533"/>
    <w:rsid w:val="00DE465D"/>
    <w:rsid w:val="00DF1325"/>
    <w:rsid w:val="00DF17E1"/>
    <w:rsid w:val="00DF2CC0"/>
    <w:rsid w:val="00DF3B47"/>
    <w:rsid w:val="00DF79C9"/>
    <w:rsid w:val="00E00318"/>
    <w:rsid w:val="00E0082F"/>
    <w:rsid w:val="00E066DE"/>
    <w:rsid w:val="00E0799C"/>
    <w:rsid w:val="00E11EB1"/>
    <w:rsid w:val="00E136A7"/>
    <w:rsid w:val="00E146B2"/>
    <w:rsid w:val="00E14E11"/>
    <w:rsid w:val="00E1585F"/>
    <w:rsid w:val="00E16B04"/>
    <w:rsid w:val="00E24E23"/>
    <w:rsid w:val="00E270FD"/>
    <w:rsid w:val="00E3109F"/>
    <w:rsid w:val="00E3308B"/>
    <w:rsid w:val="00E334C9"/>
    <w:rsid w:val="00E37144"/>
    <w:rsid w:val="00E422A2"/>
    <w:rsid w:val="00E43362"/>
    <w:rsid w:val="00E45863"/>
    <w:rsid w:val="00E46453"/>
    <w:rsid w:val="00E519A1"/>
    <w:rsid w:val="00E53C2B"/>
    <w:rsid w:val="00E55076"/>
    <w:rsid w:val="00E55DA6"/>
    <w:rsid w:val="00E5776E"/>
    <w:rsid w:val="00E577C8"/>
    <w:rsid w:val="00E578D8"/>
    <w:rsid w:val="00E620B1"/>
    <w:rsid w:val="00E63C4C"/>
    <w:rsid w:val="00E715FE"/>
    <w:rsid w:val="00E719C1"/>
    <w:rsid w:val="00E71A6B"/>
    <w:rsid w:val="00E73E3A"/>
    <w:rsid w:val="00E86A67"/>
    <w:rsid w:val="00E9385B"/>
    <w:rsid w:val="00E966B2"/>
    <w:rsid w:val="00EB35D5"/>
    <w:rsid w:val="00EB4D13"/>
    <w:rsid w:val="00EC02F4"/>
    <w:rsid w:val="00EC1DDD"/>
    <w:rsid w:val="00EC430B"/>
    <w:rsid w:val="00EC4D25"/>
    <w:rsid w:val="00ED5140"/>
    <w:rsid w:val="00ED5EA0"/>
    <w:rsid w:val="00ED72F2"/>
    <w:rsid w:val="00EE0AA3"/>
    <w:rsid w:val="00EE0CFE"/>
    <w:rsid w:val="00EE1F6B"/>
    <w:rsid w:val="00EE57F6"/>
    <w:rsid w:val="00EF024B"/>
    <w:rsid w:val="00EF02DE"/>
    <w:rsid w:val="00EF3B65"/>
    <w:rsid w:val="00EF481C"/>
    <w:rsid w:val="00EF6A97"/>
    <w:rsid w:val="00EF6EE5"/>
    <w:rsid w:val="00EF6F85"/>
    <w:rsid w:val="00F011F5"/>
    <w:rsid w:val="00F0339E"/>
    <w:rsid w:val="00F0482D"/>
    <w:rsid w:val="00F05C6A"/>
    <w:rsid w:val="00F06A09"/>
    <w:rsid w:val="00F112C7"/>
    <w:rsid w:val="00F12679"/>
    <w:rsid w:val="00F1487E"/>
    <w:rsid w:val="00F148BA"/>
    <w:rsid w:val="00F1725D"/>
    <w:rsid w:val="00F242A6"/>
    <w:rsid w:val="00F25217"/>
    <w:rsid w:val="00F26407"/>
    <w:rsid w:val="00F27D6A"/>
    <w:rsid w:val="00F27E54"/>
    <w:rsid w:val="00F30124"/>
    <w:rsid w:val="00F31333"/>
    <w:rsid w:val="00F31829"/>
    <w:rsid w:val="00F31ECD"/>
    <w:rsid w:val="00F3465D"/>
    <w:rsid w:val="00F36D2E"/>
    <w:rsid w:val="00F3758A"/>
    <w:rsid w:val="00F4069F"/>
    <w:rsid w:val="00F52B67"/>
    <w:rsid w:val="00F55C1C"/>
    <w:rsid w:val="00F57054"/>
    <w:rsid w:val="00F61EE3"/>
    <w:rsid w:val="00F627A6"/>
    <w:rsid w:val="00F653D3"/>
    <w:rsid w:val="00F6795F"/>
    <w:rsid w:val="00F704C8"/>
    <w:rsid w:val="00F7155E"/>
    <w:rsid w:val="00F72F5B"/>
    <w:rsid w:val="00F73946"/>
    <w:rsid w:val="00F75479"/>
    <w:rsid w:val="00F75A04"/>
    <w:rsid w:val="00F76A64"/>
    <w:rsid w:val="00F77CE1"/>
    <w:rsid w:val="00F819D5"/>
    <w:rsid w:val="00F873A8"/>
    <w:rsid w:val="00F90BEA"/>
    <w:rsid w:val="00F944D7"/>
    <w:rsid w:val="00F96B6B"/>
    <w:rsid w:val="00FA1B1A"/>
    <w:rsid w:val="00FA4651"/>
    <w:rsid w:val="00FB0D05"/>
    <w:rsid w:val="00FB2BE1"/>
    <w:rsid w:val="00FB3EE8"/>
    <w:rsid w:val="00FB7127"/>
    <w:rsid w:val="00FC000B"/>
    <w:rsid w:val="00FC5C4F"/>
    <w:rsid w:val="00FD44A0"/>
    <w:rsid w:val="00FD4621"/>
    <w:rsid w:val="00FD52FF"/>
    <w:rsid w:val="00FE2D3E"/>
    <w:rsid w:val="00FE4288"/>
    <w:rsid w:val="00FE4888"/>
    <w:rsid w:val="00FE6672"/>
    <w:rsid w:val="00FF0D13"/>
    <w:rsid w:val="00FF312E"/>
    <w:rsid w:val="00FF7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8B2E0CD-FC8E-4D0C-8DE9-ED67CC7C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697"/>
    <w:pPr>
      <w:spacing w:after="200" w:line="276" w:lineRule="auto"/>
    </w:pPr>
    <w:rPr>
      <w:sz w:val="22"/>
      <w:szCs w:val="22"/>
    </w:rPr>
  </w:style>
  <w:style w:type="paragraph" w:styleId="Heading2">
    <w:name w:val="heading 2"/>
    <w:basedOn w:val="Normal"/>
    <w:next w:val="Normal"/>
    <w:link w:val="Heading2Char"/>
    <w:uiPriority w:val="99"/>
    <w:qFormat/>
    <w:locked/>
    <w:rsid w:val="006D77D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9"/>
    <w:qFormat/>
    <w:rsid w:val="00EC4D2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6D77DB"/>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EC4D25"/>
    <w:rPr>
      <w:rFonts w:ascii="Times New Roman" w:hAnsi="Times New Roman" w:cs="Times New Roman"/>
      <w:b/>
      <w:bCs/>
      <w:sz w:val="27"/>
      <w:szCs w:val="27"/>
    </w:rPr>
  </w:style>
  <w:style w:type="paragraph" w:styleId="Header">
    <w:name w:val="header"/>
    <w:basedOn w:val="Normal"/>
    <w:link w:val="HeaderChar"/>
    <w:uiPriority w:val="99"/>
    <w:rsid w:val="00BA580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BA5806"/>
    <w:rPr>
      <w:rFonts w:cs="Times New Roman"/>
    </w:rPr>
  </w:style>
  <w:style w:type="paragraph" w:styleId="Footer">
    <w:name w:val="footer"/>
    <w:basedOn w:val="Normal"/>
    <w:link w:val="FooterChar"/>
    <w:uiPriority w:val="99"/>
    <w:rsid w:val="00BA580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BA5806"/>
    <w:rPr>
      <w:rFonts w:cs="Times New Roman"/>
    </w:rPr>
  </w:style>
  <w:style w:type="paragraph" w:styleId="BalloonText">
    <w:name w:val="Balloon Text"/>
    <w:basedOn w:val="Normal"/>
    <w:link w:val="BalloonTextChar"/>
    <w:uiPriority w:val="99"/>
    <w:semiHidden/>
    <w:rsid w:val="00BA58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806"/>
    <w:rPr>
      <w:rFonts w:ascii="Tahoma" w:hAnsi="Tahoma" w:cs="Tahoma"/>
      <w:sz w:val="16"/>
      <w:szCs w:val="16"/>
    </w:rPr>
  </w:style>
  <w:style w:type="paragraph" w:styleId="BodyText2">
    <w:name w:val="Body Text 2"/>
    <w:basedOn w:val="Normal"/>
    <w:link w:val="BodyText2Char"/>
    <w:uiPriority w:val="99"/>
    <w:rsid w:val="00303294"/>
    <w:pPr>
      <w:spacing w:after="0" w:line="240" w:lineRule="auto"/>
    </w:pPr>
    <w:rPr>
      <w:rFonts w:ascii="Courier New" w:eastAsia="Times New Roman" w:hAnsi="Courier New"/>
      <w:b/>
      <w:color w:val="0000FF"/>
      <w:sz w:val="24"/>
      <w:szCs w:val="20"/>
    </w:rPr>
  </w:style>
  <w:style w:type="character" w:customStyle="1" w:styleId="BodyText2Char">
    <w:name w:val="Body Text 2 Char"/>
    <w:basedOn w:val="DefaultParagraphFont"/>
    <w:link w:val="BodyText2"/>
    <w:uiPriority w:val="99"/>
    <w:locked/>
    <w:rsid w:val="00303294"/>
    <w:rPr>
      <w:rFonts w:ascii="Courier New" w:hAnsi="Courier New" w:cs="Times New Roman"/>
      <w:b/>
      <w:color w:val="0000FF"/>
      <w:sz w:val="20"/>
      <w:szCs w:val="20"/>
    </w:rPr>
  </w:style>
  <w:style w:type="character" w:styleId="Hyperlink">
    <w:name w:val="Hyperlink"/>
    <w:basedOn w:val="DefaultParagraphFont"/>
    <w:uiPriority w:val="99"/>
    <w:rsid w:val="00303294"/>
    <w:rPr>
      <w:rFonts w:cs="Times New Roman"/>
      <w:color w:val="0000FF"/>
      <w:u w:val="single"/>
    </w:rPr>
  </w:style>
  <w:style w:type="paragraph" w:styleId="Title">
    <w:name w:val="Title"/>
    <w:basedOn w:val="Normal"/>
    <w:link w:val="TitleChar"/>
    <w:uiPriority w:val="99"/>
    <w:qFormat/>
    <w:rsid w:val="00216953"/>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locked/>
    <w:rsid w:val="00216953"/>
    <w:rPr>
      <w:rFonts w:ascii="Times New Roman" w:hAnsi="Times New Roman" w:cs="Times New Roman"/>
      <w:sz w:val="20"/>
      <w:szCs w:val="20"/>
    </w:rPr>
  </w:style>
  <w:style w:type="table" w:styleId="TableGrid">
    <w:name w:val="Table Grid"/>
    <w:basedOn w:val="TableNormal"/>
    <w:uiPriority w:val="99"/>
    <w:rsid w:val="00D01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2">
    <w:name w:val="indent2"/>
    <w:basedOn w:val="Normal"/>
    <w:uiPriority w:val="99"/>
    <w:rsid w:val="00BF4FE4"/>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99"/>
    <w:qFormat/>
    <w:rsid w:val="007F5B1D"/>
    <w:pPr>
      <w:ind w:left="720"/>
      <w:contextualSpacing/>
    </w:pPr>
  </w:style>
  <w:style w:type="paragraph" w:styleId="Revision">
    <w:name w:val="Revision"/>
    <w:hidden/>
    <w:uiPriority w:val="99"/>
    <w:semiHidden/>
    <w:rsid w:val="006579BC"/>
    <w:rPr>
      <w:sz w:val="22"/>
      <w:szCs w:val="22"/>
    </w:rPr>
  </w:style>
  <w:style w:type="paragraph" w:customStyle="1" w:styleId="indent1">
    <w:name w:val="indent1"/>
    <w:basedOn w:val="Normal"/>
    <w:uiPriority w:val="99"/>
    <w:rsid w:val="00EC4D25"/>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614A3F"/>
    <w:rPr>
      <w:sz w:val="22"/>
      <w:szCs w:val="22"/>
    </w:rPr>
  </w:style>
  <w:style w:type="paragraph" w:customStyle="1" w:styleId="Default">
    <w:name w:val="Default"/>
    <w:rsid w:val="001C0D4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840948">
      <w:bodyDiv w:val="1"/>
      <w:marLeft w:val="0"/>
      <w:marRight w:val="0"/>
      <w:marTop w:val="0"/>
      <w:marBottom w:val="0"/>
      <w:divBdr>
        <w:top w:val="none" w:sz="0" w:space="0" w:color="auto"/>
        <w:left w:val="none" w:sz="0" w:space="0" w:color="auto"/>
        <w:bottom w:val="none" w:sz="0" w:space="0" w:color="auto"/>
        <w:right w:val="none" w:sz="0" w:space="0" w:color="auto"/>
      </w:divBdr>
    </w:div>
    <w:div w:id="757866511">
      <w:bodyDiv w:val="1"/>
      <w:marLeft w:val="0"/>
      <w:marRight w:val="0"/>
      <w:marTop w:val="0"/>
      <w:marBottom w:val="0"/>
      <w:divBdr>
        <w:top w:val="none" w:sz="0" w:space="0" w:color="auto"/>
        <w:left w:val="none" w:sz="0" w:space="0" w:color="auto"/>
        <w:bottom w:val="none" w:sz="0" w:space="0" w:color="auto"/>
        <w:right w:val="none" w:sz="0" w:space="0" w:color="auto"/>
      </w:divBdr>
    </w:div>
    <w:div w:id="761492189">
      <w:marLeft w:val="0"/>
      <w:marRight w:val="0"/>
      <w:marTop w:val="0"/>
      <w:marBottom w:val="0"/>
      <w:divBdr>
        <w:top w:val="none" w:sz="0" w:space="0" w:color="auto"/>
        <w:left w:val="none" w:sz="0" w:space="0" w:color="auto"/>
        <w:bottom w:val="none" w:sz="0" w:space="0" w:color="auto"/>
        <w:right w:val="none" w:sz="0" w:space="0" w:color="auto"/>
      </w:divBdr>
    </w:div>
    <w:div w:id="761492190">
      <w:marLeft w:val="0"/>
      <w:marRight w:val="0"/>
      <w:marTop w:val="0"/>
      <w:marBottom w:val="0"/>
      <w:divBdr>
        <w:top w:val="none" w:sz="0" w:space="0" w:color="auto"/>
        <w:left w:val="none" w:sz="0" w:space="0" w:color="auto"/>
        <w:bottom w:val="none" w:sz="0" w:space="0" w:color="auto"/>
        <w:right w:val="none" w:sz="0" w:space="0" w:color="auto"/>
      </w:divBdr>
    </w:div>
    <w:div w:id="761492191">
      <w:marLeft w:val="0"/>
      <w:marRight w:val="0"/>
      <w:marTop w:val="0"/>
      <w:marBottom w:val="0"/>
      <w:divBdr>
        <w:top w:val="none" w:sz="0" w:space="0" w:color="auto"/>
        <w:left w:val="none" w:sz="0" w:space="0" w:color="auto"/>
        <w:bottom w:val="none" w:sz="0" w:space="0" w:color="auto"/>
        <w:right w:val="none" w:sz="0" w:space="0" w:color="auto"/>
      </w:divBdr>
    </w:div>
    <w:div w:id="761492192">
      <w:marLeft w:val="0"/>
      <w:marRight w:val="0"/>
      <w:marTop w:val="0"/>
      <w:marBottom w:val="0"/>
      <w:divBdr>
        <w:top w:val="none" w:sz="0" w:space="0" w:color="auto"/>
        <w:left w:val="none" w:sz="0" w:space="0" w:color="auto"/>
        <w:bottom w:val="none" w:sz="0" w:space="0" w:color="auto"/>
        <w:right w:val="none" w:sz="0" w:space="0" w:color="auto"/>
      </w:divBdr>
    </w:div>
    <w:div w:id="761492193">
      <w:marLeft w:val="0"/>
      <w:marRight w:val="0"/>
      <w:marTop w:val="0"/>
      <w:marBottom w:val="0"/>
      <w:divBdr>
        <w:top w:val="none" w:sz="0" w:space="0" w:color="auto"/>
        <w:left w:val="none" w:sz="0" w:space="0" w:color="auto"/>
        <w:bottom w:val="none" w:sz="0" w:space="0" w:color="auto"/>
        <w:right w:val="none" w:sz="0" w:space="0" w:color="auto"/>
      </w:divBdr>
    </w:div>
    <w:div w:id="761492194">
      <w:marLeft w:val="0"/>
      <w:marRight w:val="0"/>
      <w:marTop w:val="0"/>
      <w:marBottom w:val="0"/>
      <w:divBdr>
        <w:top w:val="none" w:sz="0" w:space="0" w:color="auto"/>
        <w:left w:val="none" w:sz="0" w:space="0" w:color="auto"/>
        <w:bottom w:val="none" w:sz="0" w:space="0" w:color="auto"/>
        <w:right w:val="none" w:sz="0" w:space="0" w:color="auto"/>
      </w:divBdr>
    </w:div>
    <w:div w:id="761492195">
      <w:marLeft w:val="0"/>
      <w:marRight w:val="0"/>
      <w:marTop w:val="0"/>
      <w:marBottom w:val="0"/>
      <w:divBdr>
        <w:top w:val="none" w:sz="0" w:space="0" w:color="auto"/>
        <w:left w:val="none" w:sz="0" w:space="0" w:color="auto"/>
        <w:bottom w:val="none" w:sz="0" w:space="0" w:color="auto"/>
        <w:right w:val="none" w:sz="0" w:space="0" w:color="auto"/>
      </w:divBdr>
    </w:div>
    <w:div w:id="761492196">
      <w:marLeft w:val="0"/>
      <w:marRight w:val="0"/>
      <w:marTop w:val="0"/>
      <w:marBottom w:val="0"/>
      <w:divBdr>
        <w:top w:val="none" w:sz="0" w:space="0" w:color="auto"/>
        <w:left w:val="none" w:sz="0" w:space="0" w:color="auto"/>
        <w:bottom w:val="none" w:sz="0" w:space="0" w:color="auto"/>
        <w:right w:val="none" w:sz="0" w:space="0" w:color="auto"/>
      </w:divBdr>
    </w:div>
    <w:div w:id="761492197">
      <w:marLeft w:val="0"/>
      <w:marRight w:val="0"/>
      <w:marTop w:val="0"/>
      <w:marBottom w:val="0"/>
      <w:divBdr>
        <w:top w:val="none" w:sz="0" w:space="0" w:color="auto"/>
        <w:left w:val="none" w:sz="0" w:space="0" w:color="auto"/>
        <w:bottom w:val="none" w:sz="0" w:space="0" w:color="auto"/>
        <w:right w:val="none" w:sz="0" w:space="0" w:color="auto"/>
      </w:divBdr>
    </w:div>
    <w:div w:id="761492198">
      <w:marLeft w:val="0"/>
      <w:marRight w:val="0"/>
      <w:marTop w:val="0"/>
      <w:marBottom w:val="0"/>
      <w:divBdr>
        <w:top w:val="none" w:sz="0" w:space="0" w:color="auto"/>
        <w:left w:val="none" w:sz="0" w:space="0" w:color="auto"/>
        <w:bottom w:val="none" w:sz="0" w:space="0" w:color="auto"/>
        <w:right w:val="none" w:sz="0" w:space="0" w:color="auto"/>
      </w:divBdr>
    </w:div>
    <w:div w:id="761492199">
      <w:marLeft w:val="0"/>
      <w:marRight w:val="0"/>
      <w:marTop w:val="0"/>
      <w:marBottom w:val="0"/>
      <w:divBdr>
        <w:top w:val="none" w:sz="0" w:space="0" w:color="auto"/>
        <w:left w:val="none" w:sz="0" w:space="0" w:color="auto"/>
        <w:bottom w:val="none" w:sz="0" w:space="0" w:color="auto"/>
        <w:right w:val="none" w:sz="0" w:space="0" w:color="auto"/>
      </w:divBdr>
    </w:div>
    <w:div w:id="761492200">
      <w:marLeft w:val="0"/>
      <w:marRight w:val="0"/>
      <w:marTop w:val="0"/>
      <w:marBottom w:val="0"/>
      <w:divBdr>
        <w:top w:val="none" w:sz="0" w:space="0" w:color="auto"/>
        <w:left w:val="none" w:sz="0" w:space="0" w:color="auto"/>
        <w:bottom w:val="none" w:sz="0" w:space="0" w:color="auto"/>
        <w:right w:val="none" w:sz="0" w:space="0" w:color="auto"/>
      </w:divBdr>
    </w:div>
    <w:div w:id="761492201">
      <w:marLeft w:val="0"/>
      <w:marRight w:val="0"/>
      <w:marTop w:val="0"/>
      <w:marBottom w:val="0"/>
      <w:divBdr>
        <w:top w:val="none" w:sz="0" w:space="0" w:color="auto"/>
        <w:left w:val="none" w:sz="0" w:space="0" w:color="auto"/>
        <w:bottom w:val="none" w:sz="0" w:space="0" w:color="auto"/>
        <w:right w:val="none" w:sz="0" w:space="0" w:color="auto"/>
      </w:divBdr>
    </w:div>
    <w:div w:id="761492202">
      <w:marLeft w:val="0"/>
      <w:marRight w:val="0"/>
      <w:marTop w:val="0"/>
      <w:marBottom w:val="0"/>
      <w:divBdr>
        <w:top w:val="none" w:sz="0" w:space="0" w:color="auto"/>
        <w:left w:val="none" w:sz="0" w:space="0" w:color="auto"/>
        <w:bottom w:val="none" w:sz="0" w:space="0" w:color="auto"/>
        <w:right w:val="none" w:sz="0" w:space="0" w:color="auto"/>
      </w:divBdr>
    </w:div>
    <w:div w:id="761492203">
      <w:marLeft w:val="0"/>
      <w:marRight w:val="0"/>
      <w:marTop w:val="0"/>
      <w:marBottom w:val="0"/>
      <w:divBdr>
        <w:top w:val="none" w:sz="0" w:space="0" w:color="auto"/>
        <w:left w:val="none" w:sz="0" w:space="0" w:color="auto"/>
        <w:bottom w:val="none" w:sz="0" w:space="0" w:color="auto"/>
        <w:right w:val="none" w:sz="0" w:space="0" w:color="auto"/>
      </w:divBdr>
    </w:div>
    <w:div w:id="761492204">
      <w:marLeft w:val="0"/>
      <w:marRight w:val="0"/>
      <w:marTop w:val="0"/>
      <w:marBottom w:val="0"/>
      <w:divBdr>
        <w:top w:val="none" w:sz="0" w:space="0" w:color="auto"/>
        <w:left w:val="none" w:sz="0" w:space="0" w:color="auto"/>
        <w:bottom w:val="none" w:sz="0" w:space="0" w:color="auto"/>
        <w:right w:val="none" w:sz="0" w:space="0" w:color="auto"/>
      </w:divBdr>
    </w:div>
    <w:div w:id="761492205">
      <w:marLeft w:val="0"/>
      <w:marRight w:val="0"/>
      <w:marTop w:val="0"/>
      <w:marBottom w:val="0"/>
      <w:divBdr>
        <w:top w:val="none" w:sz="0" w:space="0" w:color="auto"/>
        <w:left w:val="none" w:sz="0" w:space="0" w:color="auto"/>
        <w:bottom w:val="none" w:sz="0" w:space="0" w:color="auto"/>
        <w:right w:val="none" w:sz="0" w:space="0" w:color="auto"/>
      </w:divBdr>
    </w:div>
    <w:div w:id="761492206">
      <w:marLeft w:val="0"/>
      <w:marRight w:val="0"/>
      <w:marTop w:val="0"/>
      <w:marBottom w:val="0"/>
      <w:divBdr>
        <w:top w:val="none" w:sz="0" w:space="0" w:color="auto"/>
        <w:left w:val="none" w:sz="0" w:space="0" w:color="auto"/>
        <w:bottom w:val="none" w:sz="0" w:space="0" w:color="auto"/>
        <w:right w:val="none" w:sz="0" w:space="0" w:color="auto"/>
      </w:divBdr>
    </w:div>
    <w:div w:id="761492207">
      <w:marLeft w:val="0"/>
      <w:marRight w:val="0"/>
      <w:marTop w:val="0"/>
      <w:marBottom w:val="0"/>
      <w:divBdr>
        <w:top w:val="none" w:sz="0" w:space="0" w:color="auto"/>
        <w:left w:val="none" w:sz="0" w:space="0" w:color="auto"/>
        <w:bottom w:val="none" w:sz="0" w:space="0" w:color="auto"/>
        <w:right w:val="none" w:sz="0" w:space="0" w:color="auto"/>
      </w:divBdr>
    </w:div>
    <w:div w:id="761492208">
      <w:marLeft w:val="0"/>
      <w:marRight w:val="0"/>
      <w:marTop w:val="0"/>
      <w:marBottom w:val="0"/>
      <w:divBdr>
        <w:top w:val="none" w:sz="0" w:space="0" w:color="auto"/>
        <w:left w:val="none" w:sz="0" w:space="0" w:color="auto"/>
        <w:bottom w:val="none" w:sz="0" w:space="0" w:color="auto"/>
        <w:right w:val="none" w:sz="0" w:space="0" w:color="auto"/>
      </w:divBdr>
    </w:div>
    <w:div w:id="761492209">
      <w:marLeft w:val="0"/>
      <w:marRight w:val="0"/>
      <w:marTop w:val="0"/>
      <w:marBottom w:val="0"/>
      <w:divBdr>
        <w:top w:val="none" w:sz="0" w:space="0" w:color="auto"/>
        <w:left w:val="none" w:sz="0" w:space="0" w:color="auto"/>
        <w:bottom w:val="none" w:sz="0" w:space="0" w:color="auto"/>
        <w:right w:val="none" w:sz="0" w:space="0" w:color="auto"/>
      </w:divBdr>
    </w:div>
    <w:div w:id="761492210">
      <w:marLeft w:val="0"/>
      <w:marRight w:val="0"/>
      <w:marTop w:val="0"/>
      <w:marBottom w:val="0"/>
      <w:divBdr>
        <w:top w:val="none" w:sz="0" w:space="0" w:color="auto"/>
        <w:left w:val="none" w:sz="0" w:space="0" w:color="auto"/>
        <w:bottom w:val="none" w:sz="0" w:space="0" w:color="auto"/>
        <w:right w:val="none" w:sz="0" w:space="0" w:color="auto"/>
      </w:divBdr>
    </w:div>
    <w:div w:id="761492211">
      <w:marLeft w:val="0"/>
      <w:marRight w:val="0"/>
      <w:marTop w:val="0"/>
      <w:marBottom w:val="0"/>
      <w:divBdr>
        <w:top w:val="none" w:sz="0" w:space="0" w:color="auto"/>
        <w:left w:val="none" w:sz="0" w:space="0" w:color="auto"/>
        <w:bottom w:val="none" w:sz="0" w:space="0" w:color="auto"/>
        <w:right w:val="none" w:sz="0" w:space="0" w:color="auto"/>
      </w:divBdr>
    </w:div>
    <w:div w:id="761492212">
      <w:marLeft w:val="0"/>
      <w:marRight w:val="0"/>
      <w:marTop w:val="0"/>
      <w:marBottom w:val="0"/>
      <w:divBdr>
        <w:top w:val="none" w:sz="0" w:space="0" w:color="auto"/>
        <w:left w:val="none" w:sz="0" w:space="0" w:color="auto"/>
        <w:bottom w:val="none" w:sz="0" w:space="0" w:color="auto"/>
        <w:right w:val="none" w:sz="0" w:space="0" w:color="auto"/>
      </w:divBdr>
    </w:div>
    <w:div w:id="761492213">
      <w:marLeft w:val="0"/>
      <w:marRight w:val="0"/>
      <w:marTop w:val="0"/>
      <w:marBottom w:val="0"/>
      <w:divBdr>
        <w:top w:val="none" w:sz="0" w:space="0" w:color="auto"/>
        <w:left w:val="none" w:sz="0" w:space="0" w:color="auto"/>
        <w:bottom w:val="none" w:sz="0" w:space="0" w:color="auto"/>
        <w:right w:val="none" w:sz="0" w:space="0" w:color="auto"/>
      </w:divBdr>
    </w:div>
    <w:div w:id="761492214">
      <w:marLeft w:val="0"/>
      <w:marRight w:val="0"/>
      <w:marTop w:val="0"/>
      <w:marBottom w:val="0"/>
      <w:divBdr>
        <w:top w:val="none" w:sz="0" w:space="0" w:color="auto"/>
        <w:left w:val="none" w:sz="0" w:space="0" w:color="auto"/>
        <w:bottom w:val="none" w:sz="0" w:space="0" w:color="auto"/>
        <w:right w:val="none" w:sz="0" w:space="0" w:color="auto"/>
      </w:divBdr>
    </w:div>
    <w:div w:id="761492215">
      <w:marLeft w:val="0"/>
      <w:marRight w:val="0"/>
      <w:marTop w:val="0"/>
      <w:marBottom w:val="0"/>
      <w:divBdr>
        <w:top w:val="none" w:sz="0" w:space="0" w:color="auto"/>
        <w:left w:val="none" w:sz="0" w:space="0" w:color="auto"/>
        <w:bottom w:val="none" w:sz="0" w:space="0" w:color="auto"/>
        <w:right w:val="none" w:sz="0" w:space="0" w:color="auto"/>
      </w:divBdr>
    </w:div>
    <w:div w:id="761492216">
      <w:marLeft w:val="0"/>
      <w:marRight w:val="0"/>
      <w:marTop w:val="0"/>
      <w:marBottom w:val="0"/>
      <w:divBdr>
        <w:top w:val="none" w:sz="0" w:space="0" w:color="auto"/>
        <w:left w:val="none" w:sz="0" w:space="0" w:color="auto"/>
        <w:bottom w:val="none" w:sz="0" w:space="0" w:color="auto"/>
        <w:right w:val="none" w:sz="0" w:space="0" w:color="auto"/>
      </w:divBdr>
    </w:div>
    <w:div w:id="761492217">
      <w:marLeft w:val="0"/>
      <w:marRight w:val="0"/>
      <w:marTop w:val="0"/>
      <w:marBottom w:val="0"/>
      <w:divBdr>
        <w:top w:val="none" w:sz="0" w:space="0" w:color="auto"/>
        <w:left w:val="none" w:sz="0" w:space="0" w:color="auto"/>
        <w:bottom w:val="none" w:sz="0" w:space="0" w:color="auto"/>
        <w:right w:val="none" w:sz="0" w:space="0" w:color="auto"/>
      </w:divBdr>
    </w:div>
    <w:div w:id="761492218">
      <w:marLeft w:val="0"/>
      <w:marRight w:val="0"/>
      <w:marTop w:val="0"/>
      <w:marBottom w:val="0"/>
      <w:divBdr>
        <w:top w:val="none" w:sz="0" w:space="0" w:color="auto"/>
        <w:left w:val="none" w:sz="0" w:space="0" w:color="auto"/>
        <w:bottom w:val="none" w:sz="0" w:space="0" w:color="auto"/>
        <w:right w:val="none" w:sz="0" w:space="0" w:color="auto"/>
      </w:divBdr>
    </w:div>
    <w:div w:id="761492219">
      <w:marLeft w:val="0"/>
      <w:marRight w:val="0"/>
      <w:marTop w:val="0"/>
      <w:marBottom w:val="0"/>
      <w:divBdr>
        <w:top w:val="none" w:sz="0" w:space="0" w:color="auto"/>
        <w:left w:val="none" w:sz="0" w:space="0" w:color="auto"/>
        <w:bottom w:val="none" w:sz="0" w:space="0" w:color="auto"/>
        <w:right w:val="none" w:sz="0" w:space="0" w:color="auto"/>
      </w:divBdr>
    </w:div>
    <w:div w:id="761492220">
      <w:marLeft w:val="0"/>
      <w:marRight w:val="0"/>
      <w:marTop w:val="0"/>
      <w:marBottom w:val="0"/>
      <w:divBdr>
        <w:top w:val="none" w:sz="0" w:space="0" w:color="auto"/>
        <w:left w:val="none" w:sz="0" w:space="0" w:color="auto"/>
        <w:bottom w:val="none" w:sz="0" w:space="0" w:color="auto"/>
        <w:right w:val="none" w:sz="0" w:space="0" w:color="auto"/>
      </w:divBdr>
    </w:div>
    <w:div w:id="761492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ton.j.mclean.civ@mail.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2007</Words>
  <Characters>13853</Characters>
  <Application>Microsoft Office Word</Application>
  <DocSecurity>0</DocSecurity>
  <Lines>115</Lines>
  <Paragraphs>31</Paragraphs>
  <ScaleCrop>false</ScaleCrop>
  <HeadingPairs>
    <vt:vector size="2" baseType="variant">
      <vt:variant>
        <vt:lpstr>Title</vt:lpstr>
      </vt:variant>
      <vt:variant>
        <vt:i4>1</vt:i4>
      </vt:variant>
    </vt:vector>
  </HeadingPairs>
  <TitlesOfParts>
    <vt:vector size="1" baseType="lpstr">
      <vt:lpstr>TAB RR</vt:lpstr>
    </vt:vector>
  </TitlesOfParts>
  <Company>U.S. Army</Company>
  <LinksUpToDate>false</LinksUpToDate>
  <CharactersWithSpaces>15829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RR</dc:title>
  <dc:creator>El Conquistador</dc:creator>
  <cp:lastModifiedBy>Whitlaw, Nathaniel - CIV</cp:lastModifiedBy>
  <cp:revision>2</cp:revision>
  <cp:lastPrinted>2012-10-11T12:09:00Z</cp:lastPrinted>
  <dcterms:created xsi:type="dcterms:W3CDTF">2020-08-20T17:54:00Z</dcterms:created>
  <dcterms:modified xsi:type="dcterms:W3CDTF">2020-08-20T17:54:00Z</dcterms:modified>
</cp:coreProperties>
</file>