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D7F8F">
      <w:pPr>
        <w:pStyle w:val="Heading1"/>
        <w:jc w:val="center"/>
        <w:rPr>
          <w:rFonts w:eastAsia="Times New Roman"/>
        </w:rPr>
      </w:pPr>
      <w:bookmarkStart w:id="0" w:name="_GoBack"/>
      <w:bookmarkEnd w:id="0"/>
      <w:r>
        <w:rPr>
          <w:rFonts w:eastAsia="Times New Roman"/>
        </w:rPr>
        <w:t>2018 Consumer Confidence Report Data</w:t>
      </w:r>
      <w:r>
        <w:rPr>
          <w:rFonts w:eastAsia="Times New Roman"/>
        </w:rPr>
        <w:br/>
        <w:t>FORT MCCOY NORTH POST, PWS ID: 64203029</w:t>
      </w:r>
    </w:p>
    <w:p w:rsidR="00000000" w:rsidRDefault="00ED7F8F">
      <w:pPr>
        <w:pStyle w:val="Heading2"/>
        <w:rPr>
          <w:rFonts w:eastAsia="Times New Roman"/>
        </w:rPr>
      </w:pPr>
      <w:r>
        <w:rPr>
          <w:rFonts w:eastAsia="Times New Roman"/>
        </w:rPr>
        <w:t>Water System Information</w:t>
      </w:r>
    </w:p>
    <w:p w:rsidR="00000000" w:rsidRDefault="00ED7F8F">
      <w:pPr>
        <w:pStyle w:val="NormalWeb"/>
      </w:pPr>
      <w:r>
        <w:t>If you would like to know more about the information contained in this report, please contact Brad L. Noth at (608) 388-2323.</w:t>
      </w:r>
    </w:p>
    <w:p w:rsidR="00000000" w:rsidRDefault="00ED7F8F">
      <w:pPr>
        <w:pStyle w:val="Heading2"/>
        <w:rPr>
          <w:rFonts w:eastAsia="Times New Roman"/>
        </w:rPr>
      </w:pPr>
      <w:r>
        <w:rPr>
          <w:rFonts w:eastAsia="Times New Roman"/>
        </w:rPr>
        <w:t>Opportunity for input on decisions affecting your water quality</w:t>
      </w:r>
    </w:p>
    <w:p w:rsidR="00000000" w:rsidRDefault="00ED7F8F">
      <w:pPr>
        <w:pStyle w:val="NormalWeb"/>
      </w:pPr>
      <w:r>
        <w:t>0800 every second Tuesday of the month at</w:t>
      </w:r>
      <w:r>
        <w:t xml:space="preserve"> 2280 Treatment Drive, Fort McCoy</w:t>
      </w:r>
    </w:p>
    <w:p w:rsidR="00000000" w:rsidRDefault="00ED7F8F">
      <w:pPr>
        <w:pStyle w:val="Heading2"/>
        <w:rPr>
          <w:rFonts w:eastAsia="Times New Roman"/>
        </w:rPr>
      </w:pPr>
      <w:r>
        <w:rPr>
          <w:rFonts w:eastAsia="Times New Roman"/>
        </w:rPr>
        <w:t>Health Information</w:t>
      </w:r>
    </w:p>
    <w:p w:rsidR="00000000" w:rsidRDefault="00ED7F8F">
      <w:pPr>
        <w:pStyle w:val="NormalWeb"/>
      </w:pPr>
      <w:r>
        <w:t>Drinking water, including bottled water, may reasonably be expected to contain at least small amounts of some contaminants. The presence of contaminants does not necessarily indicate that water poses a h</w:t>
      </w:r>
      <w:r>
        <w:t>ealth risk. More information about contaminants and potential health effects can be obtained by calling the Environmental Protection Agency's safe drinking water hotline (800-426-4791).</w:t>
      </w:r>
    </w:p>
    <w:p w:rsidR="00000000" w:rsidRDefault="00ED7F8F">
      <w:pPr>
        <w:pStyle w:val="NormalWeb"/>
      </w:pPr>
      <w:r>
        <w:t>Some people may be more vulnerable to contaminants in drinking water t</w:t>
      </w:r>
      <w:r>
        <w:t xml:space="preserve">han the general population. Immuno-compromised persons such as persons with cancer undergoing chemotherapy, persons who have undergone organ transplants, people with HIV/AIDS or other immune systems disorders, some elderly, and infants can be particularly </w:t>
      </w:r>
      <w:r>
        <w:t>at risk from infections. These people should seek advice about drinking water from their health care providers. EPA/CDC guidelines on appropriate means to lessen the risk of infection by cryptosporidium and other microbial contaminants are available from t</w:t>
      </w:r>
      <w:r>
        <w:t>he Environmental Protection Agency's safe drinking water hotline (800-426-4791).</w:t>
      </w:r>
    </w:p>
    <w:p w:rsidR="00000000" w:rsidRDefault="00ED7F8F">
      <w:pPr>
        <w:pStyle w:val="Heading2"/>
        <w:rPr>
          <w:rFonts w:eastAsia="Times New Roman"/>
        </w:rPr>
      </w:pPr>
      <w:r>
        <w:rPr>
          <w:rFonts w:eastAsia="Times New Roman"/>
        </w:rPr>
        <w:t>Source(s) of Water</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9"/>
        <w:gridCol w:w="1357"/>
        <w:gridCol w:w="1570"/>
        <w:gridCol w:w="3272"/>
      </w:tblGrid>
      <w:tr w:rsidR="00000000">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Source ID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Depth (in feet)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Status</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Groundwater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201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Perm. Abandoned as of 10/13/15</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lastRenderedPageBreak/>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Groundwater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Perm. Abandoned as of 10/13/15</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Groundwater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Perm. Abandoned as of 12/30/14</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Groundwater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202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Active</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Groundwater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204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Active</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Groundwater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217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Active</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Groundwater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220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Active</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Groundwater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Active</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Groundwater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250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Active</w:t>
            </w:r>
          </w:p>
        </w:tc>
      </w:tr>
    </w:tbl>
    <w:p w:rsidR="00000000" w:rsidRDefault="00ED7F8F">
      <w:pPr>
        <w:pStyle w:val="NormalWeb"/>
      </w:pPr>
      <w:r>
        <w:t>To obtain a summary of the source water assessment please contact, Brad L. Noth at (608) 388-2323.</w:t>
      </w:r>
    </w:p>
    <w:p w:rsidR="00000000" w:rsidRDefault="00ED7F8F">
      <w:pPr>
        <w:pStyle w:val="Heading2"/>
        <w:rPr>
          <w:rFonts w:eastAsia="Times New Roman"/>
        </w:rPr>
      </w:pPr>
      <w:r>
        <w:rPr>
          <w:rFonts w:eastAsia="Times New Roman"/>
        </w:rPr>
        <w:t>Educational Information</w:t>
      </w:r>
    </w:p>
    <w:p w:rsidR="00000000" w:rsidRDefault="00ED7F8F">
      <w:pPr>
        <w:pStyle w:val="NormalWeb"/>
      </w:pPr>
      <w:r>
        <w:t>The sources of drinking water, both tap water and bottled water, include rivers, lakes, streams, ponds, reservoirs, springs and wells</w:t>
      </w:r>
      <w:r>
        <w:t>. As water travels over the surface of the land or through the ground, it dissolves naturally occurring minerals and, in some cases, radioactive material, and can pick up substances resulting from the presence of animals or from human activity.</w:t>
      </w:r>
    </w:p>
    <w:p w:rsidR="00000000" w:rsidRDefault="00ED7F8F">
      <w:pPr>
        <w:pStyle w:val="NormalWeb"/>
      </w:pPr>
      <w:r>
        <w:t>Contaminant</w:t>
      </w:r>
      <w:r>
        <w:t>s that may be present in source water include:</w:t>
      </w:r>
    </w:p>
    <w:p w:rsidR="00000000" w:rsidRDefault="00ED7F8F">
      <w:pPr>
        <w:numPr>
          <w:ilvl w:val="0"/>
          <w:numId w:val="1"/>
        </w:numPr>
        <w:spacing w:before="100" w:beforeAutospacing="1" w:after="100" w:afterAutospacing="1"/>
        <w:rPr>
          <w:rFonts w:eastAsia="Times New Roman"/>
        </w:rPr>
      </w:pPr>
      <w:r>
        <w:rPr>
          <w:rFonts w:eastAsia="Times New Roman"/>
        </w:rPr>
        <w:t>Microbial contaminants, such as viruses and bacteria, which may come from sewage treatment plants, septic systems, agricultural livestock operations and wildlife.</w:t>
      </w:r>
    </w:p>
    <w:p w:rsidR="00000000" w:rsidRDefault="00ED7F8F">
      <w:pPr>
        <w:numPr>
          <w:ilvl w:val="0"/>
          <w:numId w:val="1"/>
        </w:numPr>
        <w:spacing w:before="100" w:beforeAutospacing="1" w:after="100" w:afterAutospacing="1"/>
        <w:rPr>
          <w:rFonts w:eastAsia="Times New Roman"/>
        </w:rPr>
      </w:pPr>
      <w:r>
        <w:rPr>
          <w:rFonts w:eastAsia="Times New Roman"/>
        </w:rPr>
        <w:t>Inorganic contaminants, such as salts and meta</w:t>
      </w:r>
      <w:r>
        <w:rPr>
          <w:rFonts w:eastAsia="Times New Roman"/>
        </w:rPr>
        <w:t xml:space="preserve">ls, which can be naturally- occurring or result from urban </w:t>
      </w:r>
      <w:proofErr w:type="spellStart"/>
      <w:r>
        <w:rPr>
          <w:rFonts w:eastAsia="Times New Roman"/>
        </w:rPr>
        <w:t>stormwater</w:t>
      </w:r>
      <w:proofErr w:type="spellEnd"/>
      <w:r>
        <w:rPr>
          <w:rFonts w:eastAsia="Times New Roman"/>
        </w:rPr>
        <w:t xml:space="preserve"> runoff, industrial or domestic wastewater discharges, oil and gas production, mining or farming.</w:t>
      </w:r>
    </w:p>
    <w:p w:rsidR="00000000" w:rsidRDefault="00ED7F8F">
      <w:pPr>
        <w:numPr>
          <w:ilvl w:val="0"/>
          <w:numId w:val="1"/>
        </w:numPr>
        <w:spacing w:before="100" w:beforeAutospacing="1" w:after="100" w:afterAutospacing="1"/>
        <w:rPr>
          <w:rFonts w:eastAsia="Times New Roman"/>
        </w:rPr>
      </w:pPr>
      <w:r>
        <w:rPr>
          <w:rFonts w:eastAsia="Times New Roman"/>
        </w:rPr>
        <w:t xml:space="preserve">Pesticides and herbicides, which may come from a variety of sources such as agriculture, </w:t>
      </w:r>
      <w:r>
        <w:rPr>
          <w:rFonts w:eastAsia="Times New Roman"/>
        </w:rPr>
        <w:t xml:space="preserve">urban </w:t>
      </w:r>
      <w:proofErr w:type="spellStart"/>
      <w:r>
        <w:rPr>
          <w:rFonts w:eastAsia="Times New Roman"/>
        </w:rPr>
        <w:t>stormwater</w:t>
      </w:r>
      <w:proofErr w:type="spellEnd"/>
      <w:r>
        <w:rPr>
          <w:rFonts w:eastAsia="Times New Roman"/>
        </w:rPr>
        <w:t xml:space="preserve"> runoff and residential uses.</w:t>
      </w:r>
    </w:p>
    <w:p w:rsidR="00000000" w:rsidRDefault="00ED7F8F">
      <w:pPr>
        <w:numPr>
          <w:ilvl w:val="0"/>
          <w:numId w:val="1"/>
        </w:numPr>
        <w:spacing w:before="100" w:beforeAutospacing="1" w:after="100" w:afterAutospacing="1"/>
        <w:rPr>
          <w:rFonts w:eastAsia="Times New Roman"/>
        </w:rPr>
      </w:pPr>
      <w:r>
        <w:rPr>
          <w:rFonts w:eastAsia="Times New Roman"/>
        </w:rPr>
        <w:t xml:space="preserve">Organic chemical contaminants, including synthetic and volatile organic chemicals, which are by-products of industrial processes and petroleum production, and can also come from gas stations, urban </w:t>
      </w:r>
      <w:proofErr w:type="spellStart"/>
      <w:r>
        <w:rPr>
          <w:rFonts w:eastAsia="Times New Roman"/>
        </w:rPr>
        <w:t>stormwater</w:t>
      </w:r>
      <w:proofErr w:type="spellEnd"/>
      <w:r>
        <w:rPr>
          <w:rFonts w:eastAsia="Times New Roman"/>
        </w:rPr>
        <w:t xml:space="preserve"> r</w:t>
      </w:r>
      <w:r>
        <w:rPr>
          <w:rFonts w:eastAsia="Times New Roman"/>
        </w:rPr>
        <w:t>unoff and septic systems.</w:t>
      </w:r>
    </w:p>
    <w:p w:rsidR="00000000" w:rsidRDefault="00ED7F8F">
      <w:pPr>
        <w:numPr>
          <w:ilvl w:val="0"/>
          <w:numId w:val="1"/>
        </w:numPr>
        <w:spacing w:before="100" w:beforeAutospacing="1" w:after="100" w:afterAutospacing="1"/>
        <w:rPr>
          <w:rFonts w:eastAsia="Times New Roman"/>
        </w:rPr>
      </w:pPr>
      <w:r>
        <w:rPr>
          <w:rFonts w:eastAsia="Times New Roman"/>
        </w:rPr>
        <w:t>Radioactive contaminants, which can be naturally occurring or be the result of oil and gas production and mining activities.</w:t>
      </w:r>
    </w:p>
    <w:p w:rsidR="00000000" w:rsidRDefault="00ED7F8F">
      <w:pPr>
        <w:pStyle w:val="NormalWeb"/>
      </w:pPr>
      <w:r>
        <w:t>In order to ensure that tap water is safe to drink, EPA prescribes regulations that limit the amount of c</w:t>
      </w:r>
      <w:r>
        <w:t xml:space="preserve">ertain contaminants in water provided by public water systems. FDA regulations establish limits for contaminants in bottled water, which shall provide the same protection for public </w:t>
      </w:r>
      <w:proofErr w:type="gramStart"/>
      <w:r>
        <w:t>health</w:t>
      </w:r>
      <w:proofErr w:type="gramEnd"/>
      <w:r>
        <w:t>.</w:t>
      </w:r>
    </w:p>
    <w:p w:rsidR="00000000" w:rsidRDefault="00ED7F8F">
      <w:pPr>
        <w:pStyle w:val="Heading2"/>
        <w:rPr>
          <w:rFonts w:eastAsia="Times New Roman"/>
        </w:rPr>
      </w:pPr>
      <w:r>
        <w:rPr>
          <w:rFonts w:eastAsia="Times New Roman"/>
        </w:rPr>
        <w:t>Definitions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8"/>
        <w:gridCol w:w="7942"/>
      </w:tblGrid>
      <w:tr w:rsidR="00000000">
        <w:trPr>
          <w:tblHeader/>
          <w:tblCellSpacing w:w="15" w:type="dxa"/>
        </w:trPr>
        <w:tc>
          <w:tcPr>
            <w:tcW w:w="0" w:type="auto"/>
            <w:vAlign w:val="center"/>
            <w:hideMark/>
          </w:tcPr>
          <w:p w:rsidR="00000000" w:rsidRDefault="00ED7F8F">
            <w:pPr>
              <w:rPr>
                <w:rFonts w:eastAsia="Times New Roman"/>
                <w:b/>
                <w:bCs/>
              </w:rPr>
            </w:pPr>
            <w:r>
              <w:rPr>
                <w:rFonts w:eastAsia="Times New Roman"/>
                <w:b/>
                <w:bCs/>
              </w:rPr>
              <w:lastRenderedPageBreak/>
              <w:t>Term</w:t>
            </w:r>
          </w:p>
        </w:tc>
        <w:tc>
          <w:tcPr>
            <w:tcW w:w="0" w:type="auto"/>
            <w:vAlign w:val="center"/>
            <w:hideMark/>
          </w:tcPr>
          <w:p w:rsidR="00000000" w:rsidRDefault="00ED7F8F">
            <w:pPr>
              <w:rPr>
                <w:rFonts w:eastAsia="Times New Roman"/>
                <w:b/>
                <w:bCs/>
              </w:rPr>
            </w:pPr>
            <w:r>
              <w:rPr>
                <w:rFonts w:eastAsia="Times New Roman"/>
                <w:b/>
                <w:bCs/>
              </w:rPr>
              <w:t>Definition</w:t>
            </w:r>
          </w:p>
        </w:tc>
      </w:tr>
      <w:tr w:rsidR="00000000">
        <w:trPr>
          <w:tblCellSpacing w:w="15" w:type="dxa"/>
        </w:trPr>
        <w:tc>
          <w:tcPr>
            <w:tcW w:w="0" w:type="auto"/>
            <w:vAlign w:val="center"/>
            <w:hideMark/>
          </w:tcPr>
          <w:p w:rsidR="00000000" w:rsidRDefault="00ED7F8F">
            <w:pPr>
              <w:rPr>
                <w:rFonts w:eastAsia="Times New Roman"/>
              </w:rPr>
            </w:pPr>
            <w:r>
              <w:rPr>
                <w:rFonts w:eastAsia="Times New Roman"/>
              </w:rPr>
              <w:t>AL</w:t>
            </w:r>
          </w:p>
        </w:tc>
        <w:tc>
          <w:tcPr>
            <w:tcW w:w="0" w:type="auto"/>
            <w:vAlign w:val="center"/>
            <w:hideMark/>
          </w:tcPr>
          <w:p w:rsidR="00000000" w:rsidRDefault="00ED7F8F">
            <w:pPr>
              <w:rPr>
                <w:rFonts w:eastAsia="Times New Roman"/>
              </w:rPr>
            </w:pPr>
            <w:r>
              <w:rPr>
                <w:rFonts w:eastAsia="Times New Roman"/>
              </w:rPr>
              <w:t xml:space="preserve">Action Level: </w:t>
            </w:r>
            <w:r>
              <w:rPr>
                <w:rFonts w:eastAsia="Times New Roman"/>
              </w:rPr>
              <w:t>The concentration of a contaminant which, if exceeded, triggers treatment or other requirements which a water system must follow.</w:t>
            </w:r>
          </w:p>
        </w:tc>
      </w:tr>
      <w:tr w:rsidR="00000000">
        <w:trPr>
          <w:tblCellSpacing w:w="15" w:type="dxa"/>
        </w:trPr>
        <w:tc>
          <w:tcPr>
            <w:tcW w:w="0" w:type="auto"/>
            <w:vAlign w:val="center"/>
            <w:hideMark/>
          </w:tcPr>
          <w:p w:rsidR="00000000" w:rsidRDefault="00ED7F8F">
            <w:pPr>
              <w:rPr>
                <w:rFonts w:eastAsia="Times New Roman"/>
              </w:rPr>
            </w:pPr>
            <w:r>
              <w:rPr>
                <w:rFonts w:eastAsia="Times New Roman"/>
              </w:rPr>
              <w:t>Level 1 Assessment</w:t>
            </w:r>
          </w:p>
        </w:tc>
        <w:tc>
          <w:tcPr>
            <w:tcW w:w="0" w:type="auto"/>
            <w:vAlign w:val="center"/>
            <w:hideMark/>
          </w:tcPr>
          <w:p w:rsidR="00000000" w:rsidRDefault="00ED7F8F">
            <w:pPr>
              <w:rPr>
                <w:rFonts w:eastAsia="Times New Roman"/>
              </w:rPr>
            </w:pPr>
            <w:r>
              <w:rPr>
                <w:rFonts w:eastAsia="Times New Roman"/>
              </w:rPr>
              <w:t>A Level 1 assessment is a study of the water system to identify potential problems and determine, if possi</w:t>
            </w:r>
            <w:r>
              <w:rPr>
                <w:rFonts w:eastAsia="Times New Roman"/>
              </w:rPr>
              <w:t>ble, why total coliform bacteria have been found in our water system.</w:t>
            </w:r>
          </w:p>
        </w:tc>
      </w:tr>
      <w:tr w:rsidR="00000000">
        <w:trPr>
          <w:tblCellSpacing w:w="15" w:type="dxa"/>
        </w:trPr>
        <w:tc>
          <w:tcPr>
            <w:tcW w:w="0" w:type="auto"/>
            <w:vAlign w:val="center"/>
            <w:hideMark/>
          </w:tcPr>
          <w:p w:rsidR="00000000" w:rsidRDefault="00ED7F8F">
            <w:pPr>
              <w:rPr>
                <w:rFonts w:eastAsia="Times New Roman"/>
              </w:rPr>
            </w:pPr>
            <w:r>
              <w:rPr>
                <w:rFonts w:eastAsia="Times New Roman"/>
              </w:rPr>
              <w:t>Level 2 Assessment</w:t>
            </w:r>
          </w:p>
        </w:tc>
        <w:tc>
          <w:tcPr>
            <w:tcW w:w="0" w:type="auto"/>
            <w:vAlign w:val="center"/>
            <w:hideMark/>
          </w:tcPr>
          <w:p w:rsidR="00000000" w:rsidRDefault="00ED7F8F">
            <w:pPr>
              <w:rPr>
                <w:rFonts w:eastAsia="Times New Roman"/>
              </w:rPr>
            </w:pPr>
            <w:r>
              <w:rPr>
                <w:rFonts w:eastAsia="Times New Roman"/>
              </w:rPr>
              <w:t>A Level 2 assessment is a very detailed study of the water system to identify potential problems and determine, if possible, why an E. coli MCL violation has occurred</w:t>
            </w:r>
            <w:r>
              <w:rPr>
                <w:rFonts w:eastAsia="Times New Roman"/>
              </w:rPr>
              <w:t xml:space="preserve"> or why total coliform bacteria have been found in our water system, or both, on multiple occasions.</w:t>
            </w:r>
          </w:p>
        </w:tc>
      </w:tr>
      <w:tr w:rsidR="00000000">
        <w:trPr>
          <w:tblCellSpacing w:w="15" w:type="dxa"/>
        </w:trPr>
        <w:tc>
          <w:tcPr>
            <w:tcW w:w="0" w:type="auto"/>
            <w:vAlign w:val="center"/>
            <w:hideMark/>
          </w:tcPr>
          <w:p w:rsidR="00000000" w:rsidRDefault="00ED7F8F">
            <w:pPr>
              <w:rPr>
                <w:rFonts w:eastAsia="Times New Roman"/>
              </w:rPr>
            </w:pPr>
            <w:r>
              <w:rPr>
                <w:rFonts w:eastAsia="Times New Roman"/>
              </w:rPr>
              <w:t>MCL</w:t>
            </w:r>
          </w:p>
        </w:tc>
        <w:tc>
          <w:tcPr>
            <w:tcW w:w="0" w:type="auto"/>
            <w:vAlign w:val="center"/>
            <w:hideMark/>
          </w:tcPr>
          <w:p w:rsidR="00000000" w:rsidRDefault="00ED7F8F">
            <w:pPr>
              <w:rPr>
                <w:rFonts w:eastAsia="Times New Roman"/>
              </w:rPr>
            </w:pPr>
            <w:r>
              <w:rPr>
                <w:rFonts w:eastAsia="Times New Roman"/>
              </w:rPr>
              <w:t xml:space="preserve">Maximum Contaminant Level: The highest level of a contaminant that is allowed in drinking water. MCLs are set as close to the MCLGs as feasible using </w:t>
            </w:r>
            <w:r>
              <w:rPr>
                <w:rFonts w:eastAsia="Times New Roman"/>
              </w:rPr>
              <w:t>the best available treatment technology.</w:t>
            </w:r>
          </w:p>
        </w:tc>
      </w:tr>
      <w:tr w:rsidR="00000000">
        <w:trPr>
          <w:tblCellSpacing w:w="15" w:type="dxa"/>
        </w:trPr>
        <w:tc>
          <w:tcPr>
            <w:tcW w:w="0" w:type="auto"/>
            <w:vAlign w:val="center"/>
            <w:hideMark/>
          </w:tcPr>
          <w:p w:rsidR="00000000" w:rsidRDefault="00ED7F8F">
            <w:pPr>
              <w:rPr>
                <w:rFonts w:eastAsia="Times New Roman"/>
              </w:rPr>
            </w:pPr>
            <w:r>
              <w:rPr>
                <w:rFonts w:eastAsia="Times New Roman"/>
              </w:rPr>
              <w:t>MCLG</w:t>
            </w:r>
          </w:p>
        </w:tc>
        <w:tc>
          <w:tcPr>
            <w:tcW w:w="0" w:type="auto"/>
            <w:vAlign w:val="center"/>
            <w:hideMark/>
          </w:tcPr>
          <w:p w:rsidR="00000000" w:rsidRDefault="00ED7F8F">
            <w:pPr>
              <w:rPr>
                <w:rFonts w:eastAsia="Times New Roman"/>
              </w:rPr>
            </w:pPr>
            <w:r>
              <w:rPr>
                <w:rFonts w:eastAsia="Times New Roman"/>
              </w:rPr>
              <w:t>Maximum Contaminant Level Goal: The level of a contaminant in drinking water below which there is no known or expected risk to health. MCLGs allow for a margin of safety.</w:t>
            </w:r>
          </w:p>
        </w:tc>
      </w:tr>
      <w:tr w:rsidR="00000000">
        <w:trPr>
          <w:tblCellSpacing w:w="15" w:type="dxa"/>
        </w:trPr>
        <w:tc>
          <w:tcPr>
            <w:tcW w:w="0" w:type="auto"/>
            <w:vAlign w:val="center"/>
            <w:hideMark/>
          </w:tcPr>
          <w:p w:rsidR="00000000" w:rsidRDefault="00ED7F8F">
            <w:pPr>
              <w:rPr>
                <w:rFonts w:eastAsia="Times New Roman"/>
              </w:rPr>
            </w:pPr>
            <w:r>
              <w:rPr>
                <w:rFonts w:eastAsia="Times New Roman"/>
              </w:rPr>
              <w:t>MFL</w:t>
            </w:r>
          </w:p>
        </w:tc>
        <w:tc>
          <w:tcPr>
            <w:tcW w:w="0" w:type="auto"/>
            <w:vAlign w:val="center"/>
            <w:hideMark/>
          </w:tcPr>
          <w:p w:rsidR="00000000" w:rsidRDefault="00ED7F8F">
            <w:pPr>
              <w:rPr>
                <w:rFonts w:eastAsia="Times New Roman"/>
              </w:rPr>
            </w:pPr>
            <w:r>
              <w:rPr>
                <w:rFonts w:eastAsia="Times New Roman"/>
              </w:rPr>
              <w:t>million fibers per liter</w:t>
            </w:r>
          </w:p>
        </w:tc>
      </w:tr>
      <w:tr w:rsidR="00000000">
        <w:trPr>
          <w:tblCellSpacing w:w="15" w:type="dxa"/>
        </w:trPr>
        <w:tc>
          <w:tcPr>
            <w:tcW w:w="0" w:type="auto"/>
            <w:vAlign w:val="center"/>
            <w:hideMark/>
          </w:tcPr>
          <w:p w:rsidR="00000000" w:rsidRDefault="00ED7F8F">
            <w:pPr>
              <w:rPr>
                <w:rFonts w:eastAsia="Times New Roman"/>
              </w:rPr>
            </w:pPr>
            <w:r>
              <w:rPr>
                <w:rFonts w:eastAsia="Times New Roman"/>
              </w:rPr>
              <w:t>MRDL</w:t>
            </w:r>
          </w:p>
        </w:tc>
        <w:tc>
          <w:tcPr>
            <w:tcW w:w="0" w:type="auto"/>
            <w:vAlign w:val="center"/>
            <w:hideMark/>
          </w:tcPr>
          <w:p w:rsidR="00000000" w:rsidRDefault="00ED7F8F">
            <w:pPr>
              <w:rPr>
                <w:rFonts w:eastAsia="Times New Roman"/>
              </w:rPr>
            </w:pPr>
            <w:r>
              <w:rPr>
                <w:rFonts w:eastAsia="Times New Roman"/>
              </w:rPr>
              <w:t>Maximum residual disinfectant level: The highest level of a disinfectant allowed in drinking water. There is convincing evidence that addition of a disinfectant is necessary for control of microbial contaminants.</w:t>
            </w:r>
          </w:p>
        </w:tc>
      </w:tr>
      <w:tr w:rsidR="00000000">
        <w:trPr>
          <w:tblCellSpacing w:w="15" w:type="dxa"/>
        </w:trPr>
        <w:tc>
          <w:tcPr>
            <w:tcW w:w="0" w:type="auto"/>
            <w:vAlign w:val="center"/>
            <w:hideMark/>
          </w:tcPr>
          <w:p w:rsidR="00000000" w:rsidRDefault="00ED7F8F">
            <w:pPr>
              <w:rPr>
                <w:rFonts w:eastAsia="Times New Roman"/>
              </w:rPr>
            </w:pPr>
            <w:r>
              <w:rPr>
                <w:rFonts w:eastAsia="Times New Roman"/>
              </w:rPr>
              <w:t>MRDLG</w:t>
            </w:r>
          </w:p>
        </w:tc>
        <w:tc>
          <w:tcPr>
            <w:tcW w:w="0" w:type="auto"/>
            <w:vAlign w:val="center"/>
            <w:hideMark/>
          </w:tcPr>
          <w:p w:rsidR="00000000" w:rsidRDefault="00ED7F8F">
            <w:pPr>
              <w:rPr>
                <w:rFonts w:eastAsia="Times New Roman"/>
              </w:rPr>
            </w:pPr>
            <w:r>
              <w:rPr>
                <w:rFonts w:eastAsia="Times New Roman"/>
              </w:rPr>
              <w:t xml:space="preserve">Maximum residual disinfectant level </w:t>
            </w:r>
            <w:r>
              <w:rPr>
                <w:rFonts w:eastAsia="Times New Roman"/>
              </w:rPr>
              <w:t>goal: The level of a drinking water disinfectant below which there is no known or expected risk to health. MRDLGs do not reflect the benefits of the use of disinfectants to control microbial contaminants.</w:t>
            </w:r>
          </w:p>
        </w:tc>
      </w:tr>
      <w:tr w:rsidR="00000000">
        <w:trPr>
          <w:tblCellSpacing w:w="15" w:type="dxa"/>
        </w:trPr>
        <w:tc>
          <w:tcPr>
            <w:tcW w:w="0" w:type="auto"/>
            <w:vAlign w:val="center"/>
            <w:hideMark/>
          </w:tcPr>
          <w:p w:rsidR="00000000" w:rsidRDefault="00ED7F8F">
            <w:pPr>
              <w:rPr>
                <w:rFonts w:eastAsia="Times New Roman"/>
              </w:rPr>
            </w:pPr>
            <w:proofErr w:type="spellStart"/>
            <w:r>
              <w:rPr>
                <w:rFonts w:eastAsia="Times New Roman"/>
              </w:rPr>
              <w:t>mrem</w:t>
            </w:r>
            <w:proofErr w:type="spellEnd"/>
            <w:r>
              <w:rPr>
                <w:rFonts w:eastAsia="Times New Roman"/>
              </w:rPr>
              <w:t>/year</w:t>
            </w:r>
          </w:p>
        </w:tc>
        <w:tc>
          <w:tcPr>
            <w:tcW w:w="0" w:type="auto"/>
            <w:vAlign w:val="center"/>
            <w:hideMark/>
          </w:tcPr>
          <w:p w:rsidR="00000000" w:rsidRDefault="00ED7F8F">
            <w:pPr>
              <w:rPr>
                <w:rFonts w:eastAsia="Times New Roman"/>
              </w:rPr>
            </w:pPr>
            <w:proofErr w:type="spellStart"/>
            <w:r>
              <w:rPr>
                <w:rFonts w:eastAsia="Times New Roman"/>
              </w:rPr>
              <w:t>millirems</w:t>
            </w:r>
            <w:proofErr w:type="spellEnd"/>
            <w:r>
              <w:rPr>
                <w:rFonts w:eastAsia="Times New Roman"/>
              </w:rPr>
              <w:t xml:space="preserve"> per year (a measure of radiati</w:t>
            </w:r>
            <w:r>
              <w:rPr>
                <w:rFonts w:eastAsia="Times New Roman"/>
              </w:rPr>
              <w:t>on absorbed by the body)</w:t>
            </w:r>
          </w:p>
        </w:tc>
      </w:tr>
      <w:tr w:rsidR="00000000">
        <w:trPr>
          <w:tblCellSpacing w:w="15" w:type="dxa"/>
        </w:trPr>
        <w:tc>
          <w:tcPr>
            <w:tcW w:w="0" w:type="auto"/>
            <w:vAlign w:val="center"/>
            <w:hideMark/>
          </w:tcPr>
          <w:p w:rsidR="00000000" w:rsidRDefault="00ED7F8F">
            <w:pPr>
              <w:rPr>
                <w:rFonts w:eastAsia="Times New Roman"/>
              </w:rPr>
            </w:pPr>
            <w:r>
              <w:rPr>
                <w:rFonts w:eastAsia="Times New Roman"/>
              </w:rPr>
              <w:t>NTU</w:t>
            </w:r>
          </w:p>
        </w:tc>
        <w:tc>
          <w:tcPr>
            <w:tcW w:w="0" w:type="auto"/>
            <w:vAlign w:val="center"/>
            <w:hideMark/>
          </w:tcPr>
          <w:p w:rsidR="00000000" w:rsidRDefault="00ED7F8F">
            <w:pPr>
              <w:rPr>
                <w:rFonts w:eastAsia="Times New Roman"/>
              </w:rPr>
            </w:pPr>
            <w:proofErr w:type="spellStart"/>
            <w:r>
              <w:rPr>
                <w:rFonts w:eastAsia="Times New Roman"/>
              </w:rPr>
              <w:t>Nephelometric</w:t>
            </w:r>
            <w:proofErr w:type="spellEnd"/>
            <w:r>
              <w:rPr>
                <w:rFonts w:eastAsia="Times New Roman"/>
              </w:rPr>
              <w:t xml:space="preserve"> Turbidity Units</w:t>
            </w:r>
          </w:p>
        </w:tc>
      </w:tr>
      <w:tr w:rsidR="00000000">
        <w:trPr>
          <w:tblCellSpacing w:w="15" w:type="dxa"/>
        </w:trPr>
        <w:tc>
          <w:tcPr>
            <w:tcW w:w="0" w:type="auto"/>
            <w:vAlign w:val="center"/>
            <w:hideMark/>
          </w:tcPr>
          <w:p w:rsidR="00000000" w:rsidRDefault="00ED7F8F">
            <w:pPr>
              <w:rPr>
                <w:rFonts w:eastAsia="Times New Roman"/>
              </w:rPr>
            </w:pPr>
            <w:proofErr w:type="spellStart"/>
            <w:r>
              <w:rPr>
                <w:rFonts w:eastAsia="Times New Roman"/>
              </w:rPr>
              <w:t>pCi</w:t>
            </w:r>
            <w:proofErr w:type="spellEnd"/>
            <w:r>
              <w:rPr>
                <w:rFonts w:eastAsia="Times New Roman"/>
              </w:rPr>
              <w:t>/l</w:t>
            </w:r>
          </w:p>
        </w:tc>
        <w:tc>
          <w:tcPr>
            <w:tcW w:w="0" w:type="auto"/>
            <w:vAlign w:val="center"/>
            <w:hideMark/>
          </w:tcPr>
          <w:p w:rsidR="00000000" w:rsidRDefault="00ED7F8F">
            <w:pPr>
              <w:rPr>
                <w:rFonts w:eastAsia="Times New Roman"/>
              </w:rPr>
            </w:pPr>
            <w:r>
              <w:rPr>
                <w:rFonts w:eastAsia="Times New Roman"/>
              </w:rPr>
              <w:t>picocuries per liter (a measure of radioactivity)</w:t>
            </w:r>
          </w:p>
        </w:tc>
      </w:tr>
      <w:tr w:rsidR="00000000">
        <w:trPr>
          <w:tblCellSpacing w:w="15" w:type="dxa"/>
        </w:trPr>
        <w:tc>
          <w:tcPr>
            <w:tcW w:w="0" w:type="auto"/>
            <w:vAlign w:val="center"/>
            <w:hideMark/>
          </w:tcPr>
          <w:p w:rsidR="00000000" w:rsidRDefault="00ED7F8F">
            <w:pPr>
              <w:rPr>
                <w:rFonts w:eastAsia="Times New Roman"/>
              </w:rPr>
            </w:pPr>
            <w:r>
              <w:rPr>
                <w:rFonts w:eastAsia="Times New Roman"/>
              </w:rPr>
              <w:t>ppm</w:t>
            </w:r>
          </w:p>
        </w:tc>
        <w:tc>
          <w:tcPr>
            <w:tcW w:w="0" w:type="auto"/>
            <w:vAlign w:val="center"/>
            <w:hideMark/>
          </w:tcPr>
          <w:p w:rsidR="00000000" w:rsidRDefault="00ED7F8F">
            <w:pPr>
              <w:rPr>
                <w:rFonts w:eastAsia="Times New Roman"/>
              </w:rPr>
            </w:pPr>
            <w:r>
              <w:rPr>
                <w:rFonts w:eastAsia="Times New Roman"/>
              </w:rPr>
              <w:t>parts per million, or milligrams per liter (mg/l)</w:t>
            </w:r>
          </w:p>
        </w:tc>
      </w:tr>
      <w:tr w:rsidR="00000000">
        <w:trPr>
          <w:tblCellSpacing w:w="15" w:type="dxa"/>
        </w:trPr>
        <w:tc>
          <w:tcPr>
            <w:tcW w:w="0" w:type="auto"/>
            <w:vAlign w:val="center"/>
            <w:hideMark/>
          </w:tcPr>
          <w:p w:rsidR="00000000" w:rsidRDefault="00ED7F8F">
            <w:pPr>
              <w:rPr>
                <w:rFonts w:eastAsia="Times New Roman"/>
              </w:rPr>
            </w:pPr>
            <w:r>
              <w:rPr>
                <w:rFonts w:eastAsia="Times New Roman"/>
              </w:rPr>
              <w:t>ppb</w:t>
            </w:r>
          </w:p>
        </w:tc>
        <w:tc>
          <w:tcPr>
            <w:tcW w:w="0" w:type="auto"/>
            <w:vAlign w:val="center"/>
            <w:hideMark/>
          </w:tcPr>
          <w:p w:rsidR="00000000" w:rsidRDefault="00ED7F8F">
            <w:pPr>
              <w:rPr>
                <w:rFonts w:eastAsia="Times New Roman"/>
              </w:rPr>
            </w:pPr>
            <w:r>
              <w:rPr>
                <w:rFonts w:eastAsia="Times New Roman"/>
              </w:rPr>
              <w:t>parts per billion, or micrograms per liter (</w:t>
            </w:r>
            <w:proofErr w:type="spellStart"/>
            <w:r>
              <w:rPr>
                <w:rFonts w:eastAsia="Times New Roman"/>
              </w:rPr>
              <w:t>ug</w:t>
            </w:r>
            <w:proofErr w:type="spellEnd"/>
            <w:r>
              <w:rPr>
                <w:rFonts w:eastAsia="Times New Roman"/>
              </w:rPr>
              <w:t>/l)</w:t>
            </w:r>
          </w:p>
        </w:tc>
      </w:tr>
      <w:tr w:rsidR="00000000">
        <w:trPr>
          <w:tblCellSpacing w:w="15" w:type="dxa"/>
        </w:trPr>
        <w:tc>
          <w:tcPr>
            <w:tcW w:w="0" w:type="auto"/>
            <w:vAlign w:val="center"/>
            <w:hideMark/>
          </w:tcPr>
          <w:p w:rsidR="00000000" w:rsidRDefault="00ED7F8F">
            <w:pPr>
              <w:rPr>
                <w:rFonts w:eastAsia="Times New Roman"/>
              </w:rPr>
            </w:pPr>
            <w:proofErr w:type="spellStart"/>
            <w:r>
              <w:rPr>
                <w:rFonts w:eastAsia="Times New Roman"/>
              </w:rPr>
              <w:t>ppt</w:t>
            </w:r>
            <w:proofErr w:type="spellEnd"/>
          </w:p>
        </w:tc>
        <w:tc>
          <w:tcPr>
            <w:tcW w:w="0" w:type="auto"/>
            <w:vAlign w:val="center"/>
            <w:hideMark/>
          </w:tcPr>
          <w:p w:rsidR="00000000" w:rsidRDefault="00ED7F8F">
            <w:pPr>
              <w:rPr>
                <w:rFonts w:eastAsia="Times New Roman"/>
              </w:rPr>
            </w:pPr>
            <w:r>
              <w:rPr>
                <w:rFonts w:eastAsia="Times New Roman"/>
              </w:rPr>
              <w:t xml:space="preserve">parts per trillion, or </w:t>
            </w:r>
            <w:proofErr w:type="spellStart"/>
            <w:r>
              <w:rPr>
                <w:rFonts w:eastAsia="Times New Roman"/>
              </w:rPr>
              <w:t>n</w:t>
            </w:r>
            <w:r>
              <w:rPr>
                <w:rFonts w:eastAsia="Times New Roman"/>
              </w:rPr>
              <w:t>anograms</w:t>
            </w:r>
            <w:proofErr w:type="spellEnd"/>
            <w:r>
              <w:rPr>
                <w:rFonts w:eastAsia="Times New Roman"/>
              </w:rPr>
              <w:t xml:space="preserve"> per liter</w:t>
            </w:r>
          </w:p>
        </w:tc>
      </w:tr>
      <w:tr w:rsidR="00000000">
        <w:trPr>
          <w:tblCellSpacing w:w="15" w:type="dxa"/>
        </w:trPr>
        <w:tc>
          <w:tcPr>
            <w:tcW w:w="0" w:type="auto"/>
            <w:vAlign w:val="center"/>
            <w:hideMark/>
          </w:tcPr>
          <w:p w:rsidR="00000000" w:rsidRDefault="00ED7F8F">
            <w:pPr>
              <w:rPr>
                <w:rFonts w:eastAsia="Times New Roman"/>
              </w:rPr>
            </w:pPr>
            <w:proofErr w:type="spellStart"/>
            <w:r>
              <w:rPr>
                <w:rFonts w:eastAsia="Times New Roman"/>
              </w:rPr>
              <w:t>ppq</w:t>
            </w:r>
            <w:proofErr w:type="spellEnd"/>
          </w:p>
        </w:tc>
        <w:tc>
          <w:tcPr>
            <w:tcW w:w="0" w:type="auto"/>
            <w:vAlign w:val="center"/>
            <w:hideMark/>
          </w:tcPr>
          <w:p w:rsidR="00000000" w:rsidRDefault="00ED7F8F">
            <w:pPr>
              <w:rPr>
                <w:rFonts w:eastAsia="Times New Roman"/>
              </w:rPr>
            </w:pPr>
            <w:r>
              <w:rPr>
                <w:rFonts w:eastAsia="Times New Roman"/>
              </w:rPr>
              <w:t xml:space="preserve">parts per quadrillion, or </w:t>
            </w:r>
            <w:proofErr w:type="spellStart"/>
            <w:r>
              <w:rPr>
                <w:rFonts w:eastAsia="Times New Roman"/>
              </w:rPr>
              <w:t>picograms</w:t>
            </w:r>
            <w:proofErr w:type="spellEnd"/>
            <w:r>
              <w:rPr>
                <w:rFonts w:eastAsia="Times New Roman"/>
              </w:rPr>
              <w:t xml:space="preserve"> per liter</w:t>
            </w:r>
          </w:p>
        </w:tc>
      </w:tr>
      <w:tr w:rsidR="00000000">
        <w:trPr>
          <w:tblCellSpacing w:w="15" w:type="dxa"/>
        </w:trPr>
        <w:tc>
          <w:tcPr>
            <w:tcW w:w="0" w:type="auto"/>
            <w:vAlign w:val="center"/>
            <w:hideMark/>
          </w:tcPr>
          <w:p w:rsidR="00000000" w:rsidRDefault="00ED7F8F">
            <w:pPr>
              <w:rPr>
                <w:rFonts w:eastAsia="Times New Roman"/>
              </w:rPr>
            </w:pPr>
            <w:r>
              <w:rPr>
                <w:rFonts w:eastAsia="Times New Roman"/>
              </w:rPr>
              <w:t>TCR</w:t>
            </w:r>
          </w:p>
        </w:tc>
        <w:tc>
          <w:tcPr>
            <w:tcW w:w="0" w:type="auto"/>
            <w:vAlign w:val="center"/>
            <w:hideMark/>
          </w:tcPr>
          <w:p w:rsidR="00000000" w:rsidRDefault="00ED7F8F">
            <w:pPr>
              <w:rPr>
                <w:rFonts w:eastAsia="Times New Roman"/>
              </w:rPr>
            </w:pPr>
            <w:r>
              <w:rPr>
                <w:rFonts w:eastAsia="Times New Roman"/>
              </w:rPr>
              <w:t>Total Coliform Rule</w:t>
            </w:r>
          </w:p>
        </w:tc>
      </w:tr>
      <w:tr w:rsidR="00000000">
        <w:trPr>
          <w:tblCellSpacing w:w="15" w:type="dxa"/>
        </w:trPr>
        <w:tc>
          <w:tcPr>
            <w:tcW w:w="0" w:type="auto"/>
            <w:vAlign w:val="center"/>
            <w:hideMark/>
          </w:tcPr>
          <w:p w:rsidR="00000000" w:rsidRDefault="00ED7F8F">
            <w:pPr>
              <w:rPr>
                <w:rFonts w:eastAsia="Times New Roman"/>
              </w:rPr>
            </w:pPr>
            <w:r>
              <w:rPr>
                <w:rFonts w:eastAsia="Times New Roman"/>
              </w:rPr>
              <w:t>TT</w:t>
            </w:r>
          </w:p>
        </w:tc>
        <w:tc>
          <w:tcPr>
            <w:tcW w:w="0" w:type="auto"/>
            <w:vAlign w:val="center"/>
            <w:hideMark/>
          </w:tcPr>
          <w:p w:rsidR="00000000" w:rsidRDefault="00ED7F8F">
            <w:pPr>
              <w:rPr>
                <w:rFonts w:eastAsia="Times New Roman"/>
              </w:rPr>
            </w:pPr>
            <w:r>
              <w:rPr>
                <w:rFonts w:eastAsia="Times New Roman"/>
              </w:rPr>
              <w:t>Treatment Technique: A required process intended to reduce the level of a contaminant in drinking water.</w:t>
            </w:r>
          </w:p>
        </w:tc>
      </w:tr>
    </w:tbl>
    <w:p w:rsidR="00000000" w:rsidRDefault="00ED7F8F">
      <w:pPr>
        <w:pStyle w:val="Heading2"/>
        <w:rPr>
          <w:rFonts w:eastAsia="Times New Roman"/>
        </w:rPr>
      </w:pPr>
      <w:r>
        <w:rPr>
          <w:rFonts w:eastAsia="Times New Roman"/>
        </w:rPr>
        <w:t>Detected Contaminants</w:t>
      </w:r>
    </w:p>
    <w:p w:rsidR="00000000" w:rsidRDefault="00ED7F8F">
      <w:pPr>
        <w:pStyle w:val="NormalWeb"/>
      </w:pPr>
      <w:r>
        <w:t>Your water was tested for many contaminants last year. We are allowed to monitor for some contaminants less frequently than once a year. The following tables list only those contaminants which were detected in your water. If a contaminant was detected last</w:t>
      </w:r>
      <w:r>
        <w:t xml:space="preserve"> year, it will appear in the following tables without a sample date. If the contaminant was not monitored last year, but was detected within the last 5 years, it will appear in the tables below along with the sample date.</w:t>
      </w:r>
    </w:p>
    <w:p w:rsidR="00000000" w:rsidRDefault="00ED7F8F">
      <w:pPr>
        <w:pStyle w:val="Heading3"/>
        <w:rPr>
          <w:rFonts w:eastAsia="Times New Roman"/>
        </w:rPr>
      </w:pPr>
      <w:r>
        <w:rPr>
          <w:rFonts w:eastAsia="Times New Roman"/>
        </w:rPr>
        <w:t>Disinfection Byproducts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61"/>
        <w:gridCol w:w="700"/>
        <w:gridCol w:w="650"/>
        <w:gridCol w:w="837"/>
        <w:gridCol w:w="840"/>
        <w:gridCol w:w="744"/>
        <w:gridCol w:w="1155"/>
        <w:gridCol w:w="1037"/>
        <w:gridCol w:w="1820"/>
      </w:tblGrid>
      <w:tr w:rsidR="00000000">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Contaminan</w:t>
            </w:r>
            <w:r>
              <w:rPr>
                <w:rFonts w:eastAsia="Times New Roman"/>
                <w:b/>
                <w:bCs/>
              </w:rPr>
              <w:t>t (units)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Site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MCL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MCLG</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Level Found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Range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Sample Date (if prior to 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Violation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Typical Source of Contaminant</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HAA5 (ppb)</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DBP-8060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By-product of drinking water chlorination</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TTHM (ppb)</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DBP-8060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10.8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10.8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By-product of drinking water chlorination</w:t>
            </w:r>
          </w:p>
        </w:tc>
      </w:tr>
    </w:tbl>
    <w:p w:rsidR="00000000" w:rsidRDefault="00ED7F8F">
      <w:pPr>
        <w:pStyle w:val="Heading3"/>
        <w:rPr>
          <w:rFonts w:eastAsia="Times New Roman"/>
        </w:rPr>
      </w:pPr>
      <w:r>
        <w:rPr>
          <w:rFonts w:eastAsia="Times New Roman"/>
        </w:rPr>
        <w:t>Inorganic Contaminants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8"/>
        <w:gridCol w:w="477"/>
        <w:gridCol w:w="650"/>
        <w:gridCol w:w="837"/>
        <w:gridCol w:w="797"/>
        <w:gridCol w:w="804"/>
        <w:gridCol w:w="994"/>
        <w:gridCol w:w="1037"/>
        <w:gridCol w:w="2200"/>
      </w:tblGrid>
      <w:tr w:rsidR="00000000">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Contaminant (units)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Site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MCL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MCLG</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Level Found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Range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Sample Date (if prior to 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Violation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Typical Source of Contaminant</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ARSENIC (ppb)</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n/a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0 - 1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Erosion of natural deposits; Runoff from orchards; Runoff from glass and electronics production wastes</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BARIUM (ppm)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0.004 - 0.008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Discharge of drilling wastes; Discharge from metal refineries; Erosion of natural deposits</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FLUORIDE (ppm)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0.1 - 0.1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Erosion of natural deposits; Water additive which promotes strong teeth; Discharge from fertilizer and aluminum factories</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NICKEL (ppb)</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1.9000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1.3000 - 1.9000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Nickel occurs naturally in soils, ground water and surface waters and is often used in electroplating, stainless steel and alloy products.</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NITRATE (N03-N) (ppm)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0.38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0.13 - 0.38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Runoff from fertilizer use; Leaching from septic tanks, sewage; Er</w:t>
            </w:r>
            <w:r>
              <w:rPr>
                <w:rFonts w:eastAsia="Times New Roman"/>
              </w:rPr>
              <w:t>osion of natural deposits</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SODIUM (ppm)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n/a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n/a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54.00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7.60 - 54.00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n/a</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THALLIUM TOTAL (ppb)</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0.2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0.0 - 0.2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Leaching from ore-processing sites; Discharge from electronics, glass, and drug factories</w:t>
            </w:r>
          </w:p>
        </w:tc>
      </w:tr>
    </w:tbl>
    <w:p w:rsidR="00000000" w:rsidRDefault="00ED7F8F">
      <w:pPr>
        <w:spacing w:after="240"/>
        <w:rPr>
          <w:rFonts w:eastAsia="Times New Roman"/>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02"/>
        <w:gridCol w:w="873"/>
        <w:gridCol w:w="837"/>
        <w:gridCol w:w="1210"/>
        <w:gridCol w:w="1006"/>
        <w:gridCol w:w="967"/>
        <w:gridCol w:w="1037"/>
        <w:gridCol w:w="1912"/>
      </w:tblGrid>
      <w:tr w:rsidR="00000000">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Contaminant (units)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Action Level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MCLG</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90th Percentile Level Found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 of Results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Sample Date (if prior to 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Violation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Typical Source of Contaminant</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COPPER (ppm)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AL=1.3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0.6400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0 of 10 results were above the action level.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Corrosion of household plumbing systems; Erosion of natural deposits; Leaching from wood preservatives</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LEAD (ppb)</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AL=15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1.20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0 of 10 results were above the action level.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Corrosion of household plumbing systems; Erosion of natural deposits</w:t>
            </w:r>
          </w:p>
        </w:tc>
      </w:tr>
    </w:tbl>
    <w:p w:rsidR="00000000" w:rsidRDefault="00ED7F8F">
      <w:pPr>
        <w:pStyle w:val="Heading3"/>
        <w:rPr>
          <w:rFonts w:eastAsia="Times New Roman"/>
        </w:rPr>
      </w:pPr>
      <w:r>
        <w:rPr>
          <w:rFonts w:eastAsia="Times New Roman"/>
        </w:rPr>
        <w:t>Radioacti</w:t>
      </w:r>
      <w:r>
        <w:rPr>
          <w:rFonts w:eastAsia="Times New Roman"/>
        </w:rPr>
        <w:t>ve Contaminants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20"/>
        <w:gridCol w:w="477"/>
        <w:gridCol w:w="650"/>
        <w:gridCol w:w="837"/>
        <w:gridCol w:w="846"/>
        <w:gridCol w:w="765"/>
        <w:gridCol w:w="1180"/>
        <w:gridCol w:w="1037"/>
        <w:gridCol w:w="1732"/>
      </w:tblGrid>
      <w:tr w:rsidR="00000000">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Contaminant (units)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Site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MCL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MCLG</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Level Found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Range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Sample Date (if prior to 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Violation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Typical Source of Contaminant</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GROSS ALPHA, EXCL. R &amp; U (</w:t>
            </w:r>
            <w:proofErr w:type="spellStart"/>
            <w:r>
              <w:rPr>
                <w:rFonts w:eastAsia="Times New Roman"/>
              </w:rPr>
              <w:t>pCi</w:t>
            </w:r>
            <w:proofErr w:type="spellEnd"/>
            <w:r>
              <w:rPr>
                <w:rFonts w:eastAsia="Times New Roman"/>
              </w:rPr>
              <w:t>/l)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0.0 - 2.6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Erosion of natural deposits</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RADIUM, (226 + 228) (</w:t>
            </w:r>
            <w:proofErr w:type="spellStart"/>
            <w:r>
              <w:rPr>
                <w:rFonts w:eastAsia="Times New Roman"/>
              </w:rPr>
              <w:t>pCi</w:t>
            </w:r>
            <w:proofErr w:type="spellEnd"/>
            <w:r>
              <w:rPr>
                <w:rFonts w:eastAsia="Times New Roman"/>
              </w:rPr>
              <w:t>/l)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0.0 - 1.5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Erosion of natural deposits</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GROSS ALPHA, INCL. R &amp; U (n/a)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n/a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n/a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0.0 - 4.6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Erosion of natural deposits</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COMBINED URANIUM (</w:t>
            </w:r>
            <w:proofErr w:type="spellStart"/>
            <w:r>
              <w:rPr>
                <w:rFonts w:eastAsia="Times New Roman"/>
              </w:rPr>
              <w:t>ug</w:t>
            </w:r>
            <w:proofErr w:type="spellEnd"/>
            <w:r>
              <w:rPr>
                <w:rFonts w:eastAsia="Times New Roman"/>
              </w:rPr>
              <w:t>/l)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0.0 - 4.5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Erosion of natural deposits</w:t>
            </w:r>
          </w:p>
        </w:tc>
      </w:tr>
    </w:tbl>
    <w:p w:rsidR="00000000" w:rsidRDefault="00ED7F8F">
      <w:pPr>
        <w:pStyle w:val="Heading3"/>
        <w:rPr>
          <w:rFonts w:eastAsia="Times New Roman"/>
        </w:rPr>
      </w:pPr>
      <w:r>
        <w:rPr>
          <w:rFonts w:eastAsia="Times New Roman"/>
        </w:rPr>
        <w:t>Unregulated Contaminants</w:t>
      </w:r>
    </w:p>
    <w:p w:rsidR="00000000" w:rsidRDefault="00ED7F8F">
      <w:pPr>
        <w:divId w:val="355931192"/>
        <w:rPr>
          <w:rFonts w:eastAsia="Times New Roman"/>
        </w:rPr>
      </w:pPr>
      <w:r>
        <w:rPr>
          <w:rFonts w:eastAsia="Times New Roman"/>
        </w:rPr>
        <w:t>Unregulated contaminants are those for which EPA has not established drinking water standards. The purpose of unregulated contaminant monitoring is to assist EPA in determining the occurrence of unregulated contaminants in drinking water and whether future</w:t>
      </w:r>
      <w:r>
        <w:rPr>
          <w:rFonts w:eastAsia="Times New Roman"/>
        </w:rPr>
        <w:t xml:space="preserve"> regulation is warranted. EPA required us to participate in this monitoring.</w:t>
      </w:r>
    </w:p>
    <w:p w:rsidR="00000000" w:rsidRDefault="00ED7F8F">
      <w:pPr>
        <w:rPr>
          <w:rFonts w:eastAsia="Times New Roman"/>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92"/>
        <w:gridCol w:w="1377"/>
        <w:gridCol w:w="744"/>
        <w:gridCol w:w="3165"/>
      </w:tblGrid>
      <w:tr w:rsidR="00000000">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Contaminant (units)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Level Found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Range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b/>
                <w:bCs/>
              </w:rPr>
            </w:pPr>
            <w:r>
              <w:rPr>
                <w:rFonts w:eastAsia="Times New Roman"/>
                <w:b/>
                <w:bCs/>
              </w:rPr>
              <w:t>Sample Date (if prior to 2018)</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SULFATE (ppm)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D7F8F">
            <w:pPr>
              <w:rPr>
                <w:rFonts w:eastAsia="Times New Roman"/>
              </w:rPr>
            </w:pPr>
            <w:r>
              <w:rPr>
                <w:rFonts w:eastAsia="Times New Roman"/>
              </w:rPr>
              <w:t>4/22/2015</w:t>
            </w:r>
          </w:p>
        </w:tc>
      </w:tr>
    </w:tbl>
    <w:p w:rsidR="00000000" w:rsidRDefault="00ED7F8F">
      <w:pPr>
        <w:pStyle w:val="Heading3"/>
        <w:rPr>
          <w:rFonts w:eastAsia="Times New Roman"/>
        </w:rPr>
      </w:pPr>
      <w:r>
        <w:rPr>
          <w:rFonts w:eastAsia="Times New Roman"/>
        </w:rPr>
        <w:t>Additional Health Information</w:t>
      </w:r>
    </w:p>
    <w:p w:rsidR="00000000" w:rsidRDefault="00ED7F8F">
      <w:pPr>
        <w:pStyle w:val="NormalWeb"/>
      </w:pPr>
      <w:r>
        <w:t xml:space="preserve">If present, elevated levels of lead can cause serious health problems, especially for pregnant women and young children. Lead in drinking water is primarily from materials and components associated with service lines and home plumbing. Fort </w:t>
      </w:r>
      <w:proofErr w:type="spellStart"/>
      <w:proofErr w:type="gramStart"/>
      <w:r>
        <w:t>Mccoy</w:t>
      </w:r>
      <w:proofErr w:type="spellEnd"/>
      <w:proofErr w:type="gramEnd"/>
      <w:r>
        <w:t xml:space="preserve"> North Pos</w:t>
      </w:r>
      <w:r>
        <w:t>t is responsible for providing high quality drinking water, but cannot control the variety of materials used in plumbing components. When your water has been sitting for several hours, you can minimize the potential for lead exposure by flushing your tap f</w:t>
      </w:r>
      <w:r>
        <w:t>or 30 seconds to 2 minutes before using water for drinking or cooking. If you are concerned about lead in your water, you may wish to have your water tested. Information on lead in drinking water, testing methods, and steps you can take to minimize exposur</w:t>
      </w:r>
      <w:r>
        <w:t>e is available from the Safe Drinking Water Hotline or at www.epa.gov/safewater/lead.</w:t>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85A22"/>
    <w:multiLevelType w:val="multilevel"/>
    <w:tmpl w:val="0FD6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D7F8F"/>
    <w:rsid w:val="00ED7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069237-0009-4E4B-A53A-DFDBEBC7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hasize-text">
    <w:name w:val="emphasize-text"/>
    <w:basedOn w:val="Normal"/>
    <w:pPr>
      <w:spacing w:before="100" w:beforeAutospacing="1" w:after="100" w:afterAutospacing="1"/>
    </w:pPr>
    <w:rPr>
      <w:b/>
      <w:bCs/>
    </w:rPr>
  </w:style>
  <w:style w:type="paragraph" w:customStyle="1" w:styleId="warning-text">
    <w:name w:val="warning-text"/>
    <w:basedOn w:val="Normal"/>
    <w:pPr>
      <w:spacing w:before="100" w:beforeAutospacing="1" w:after="100" w:afterAutospacing="1"/>
    </w:pPr>
    <w:rPr>
      <w:b/>
      <w:bCs/>
      <w:color w:val="FF0000"/>
    </w:rPr>
  </w:style>
  <w:style w:type="paragraph" w:customStyle="1" w:styleId="doc-title">
    <w:name w:val="doc-title"/>
    <w:basedOn w:val="Normal"/>
    <w:pPr>
      <w:spacing w:before="100" w:beforeAutospacing="1" w:after="100" w:afterAutospacing="1"/>
      <w:jc w:val="center"/>
    </w:pPr>
  </w:style>
  <w:style w:type="paragraph" w:customStyle="1" w:styleId="save-as-instructions">
    <w:name w:val="save-as-instructions"/>
    <w:basedOn w:val="Normal"/>
    <w:pPr>
      <w:spacing w:before="100" w:beforeAutospacing="1" w:after="100" w:afterAutospacing="1"/>
    </w:pPr>
    <w:rPr>
      <w:b/>
      <w:bCs/>
      <w:color w:val="FF0000"/>
      <w:sz w:val="27"/>
      <w:szCs w:val="27"/>
    </w:rPr>
  </w:style>
  <w:style w:type="paragraph" w:customStyle="1" w:styleId="clear">
    <w:name w:val="clear"/>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3119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1511</Words>
  <Characters>8277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CCR Document</vt:lpstr>
    </vt:vector>
  </TitlesOfParts>
  <Company>United States Army</Company>
  <LinksUpToDate>false</LinksUpToDate>
  <CharactersWithSpaces>9769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Document</dc:title>
  <dc:subject/>
  <dc:creator>DoD Admin</dc:creator>
  <cp:keywords/>
  <dc:description/>
  <cp:lastModifiedBy>DoD Admin</cp:lastModifiedBy>
  <cp:revision>2</cp:revision>
  <dcterms:created xsi:type="dcterms:W3CDTF">2019-05-15T14:10:00Z</dcterms:created>
  <dcterms:modified xsi:type="dcterms:W3CDTF">2019-05-15T14:10:00Z</dcterms:modified>
</cp:coreProperties>
</file>